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E4" w:rsidRDefault="00CD51E4" w:rsidP="003C4DFC">
      <w:pPr>
        <w:pStyle w:val="Titre"/>
      </w:pPr>
      <w:r>
        <w:t>L’obsolescence programmée</w:t>
      </w:r>
    </w:p>
    <w:p w:rsidR="007A4DF2" w:rsidRDefault="007A4DF2" w:rsidP="007A4DF2">
      <w:pPr>
        <w:jc w:val="center"/>
        <w:rPr>
          <w:rFonts w:ascii="Times New Roman" w:hAnsi="Times New Roman" w:cs="Times New Roman"/>
        </w:rPr>
      </w:pPr>
    </w:p>
    <w:p w:rsidR="00CD51E4" w:rsidRDefault="00CD51E4">
      <w:pPr>
        <w:rPr>
          <w:rFonts w:ascii="Times New Roman" w:hAnsi="Times New Roman" w:cs="Times New Roman"/>
        </w:rPr>
      </w:pPr>
      <w:commentRangeStart w:id="0"/>
      <w:r>
        <w:rPr>
          <w:rFonts w:ascii="Times New Roman" w:hAnsi="Times New Roman" w:cs="Times New Roman"/>
        </w:rPr>
        <w:t>Plan :</w:t>
      </w:r>
    </w:p>
    <w:p w:rsidR="00CD51E4" w:rsidRDefault="00CD5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 :01 :03 </w:t>
      </w:r>
      <w:r w:rsidRPr="00CD51E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 w:rsidR="00604D7D">
        <w:rPr>
          <w:rFonts w:ascii="Times New Roman" w:hAnsi="Times New Roman" w:cs="Times New Roman"/>
        </w:rPr>
        <w:t xml:space="preserve">00 :06 :35 </w:t>
      </w:r>
      <w:r>
        <w:rPr>
          <w:rFonts w:ascii="Times New Roman" w:hAnsi="Times New Roman" w:cs="Times New Roman"/>
        </w:rPr>
        <w:t>Présentation du CNIID</w:t>
      </w:r>
      <w:r w:rsidR="00604D7D">
        <w:rPr>
          <w:rFonts w:ascii="Times New Roman" w:hAnsi="Times New Roman" w:cs="Times New Roman"/>
        </w:rPr>
        <w:t xml:space="preserve"> et introduction</w:t>
      </w:r>
    </w:p>
    <w:p w:rsidR="00604D7D" w:rsidRDefault="00604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 :06 :37 </w:t>
      </w:r>
      <w:r w:rsidRPr="00604D7D">
        <w:rPr>
          <w:rFonts w:ascii="Times New Roman" w:hAnsi="Times New Roman" w:cs="Times New Roman"/>
        </w:rPr>
        <w:sym w:font="Wingdings" w:char="F0E0"/>
      </w:r>
      <w:r w:rsidR="009928A6">
        <w:rPr>
          <w:rFonts w:ascii="Times New Roman" w:hAnsi="Times New Roman" w:cs="Times New Roman"/>
        </w:rPr>
        <w:t xml:space="preserve"> 00 :07 :40</w:t>
      </w:r>
      <w:r>
        <w:rPr>
          <w:rFonts w:ascii="Times New Roman" w:hAnsi="Times New Roman" w:cs="Times New Roman"/>
        </w:rPr>
        <w:t xml:space="preserve"> Définition de l’obsolescence programmée</w:t>
      </w:r>
    </w:p>
    <w:p w:rsidR="00604D7D" w:rsidRDefault="00992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 :07 :41 </w:t>
      </w:r>
      <w:r w:rsidRPr="009928A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00</w:t>
      </w:r>
      <w:r w:rsidR="00BF6A7A">
        <w:rPr>
          <w:rFonts w:ascii="Times New Roman" w:hAnsi="Times New Roman" w:cs="Times New Roman"/>
        </w:rPr>
        <w:t> :12 :55</w:t>
      </w:r>
      <w:r>
        <w:rPr>
          <w:rFonts w:ascii="Times New Roman" w:hAnsi="Times New Roman" w:cs="Times New Roman"/>
        </w:rPr>
        <w:t xml:space="preserve"> Différentes types d’obsolescence programmée</w:t>
      </w:r>
    </w:p>
    <w:p w:rsidR="00BF6A7A" w:rsidRDefault="00BF6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 :12 :56 </w:t>
      </w:r>
      <w:r w:rsidRPr="00BF6A7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7C3C5B">
        <w:rPr>
          <w:rFonts w:ascii="Times New Roman" w:hAnsi="Times New Roman" w:cs="Times New Roman"/>
        </w:rPr>
        <w:t>00 :25 :07</w:t>
      </w:r>
      <w:r w:rsidR="00CB7F2C">
        <w:rPr>
          <w:rFonts w:ascii="Times New Roman" w:hAnsi="Times New Roman" w:cs="Times New Roman"/>
        </w:rPr>
        <w:t xml:space="preserve"> </w:t>
      </w:r>
      <w:r w:rsidR="007C3C5B">
        <w:rPr>
          <w:rFonts w:ascii="Times New Roman" w:hAnsi="Times New Roman" w:cs="Times New Roman"/>
        </w:rPr>
        <w:t>Impacts des déchets produits et de leur gestion actuelle</w:t>
      </w:r>
    </w:p>
    <w:p w:rsidR="007C3C5B" w:rsidRDefault="007C3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 :25 :08</w:t>
      </w:r>
      <w:r w:rsidR="002831A1">
        <w:rPr>
          <w:rFonts w:ascii="Times New Roman" w:hAnsi="Times New Roman" w:cs="Times New Roman"/>
        </w:rPr>
        <w:t xml:space="preserve"> </w:t>
      </w:r>
      <w:r w:rsidRPr="007C3C5B">
        <w:rPr>
          <w:rFonts w:ascii="Times New Roman" w:hAnsi="Times New Roman" w:cs="Times New Roman"/>
        </w:rPr>
        <w:sym w:font="Wingdings" w:char="F0E0"/>
      </w:r>
      <w:r w:rsidR="00CB7F2C">
        <w:rPr>
          <w:rFonts w:ascii="Times New Roman" w:hAnsi="Times New Roman" w:cs="Times New Roman"/>
        </w:rPr>
        <w:t xml:space="preserve"> 00 :35 :00</w:t>
      </w:r>
      <w:r>
        <w:rPr>
          <w:rFonts w:ascii="Times New Roman" w:hAnsi="Times New Roman" w:cs="Times New Roman"/>
        </w:rPr>
        <w:t xml:space="preserve"> Comment réagir à ces problèmes ?</w:t>
      </w:r>
    </w:p>
    <w:p w:rsidR="00CB7F2C" w:rsidRDefault="00CB7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 :35 :00 </w:t>
      </w:r>
      <w:r w:rsidRPr="00CB7F2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7A4DF2">
        <w:rPr>
          <w:rFonts w:ascii="Times New Roman" w:hAnsi="Times New Roman" w:cs="Times New Roman"/>
        </w:rPr>
        <w:t xml:space="preserve">00 :39 :53 </w:t>
      </w:r>
      <w:r>
        <w:rPr>
          <w:rFonts w:ascii="Times New Roman" w:hAnsi="Times New Roman" w:cs="Times New Roman"/>
        </w:rPr>
        <w:t>Changement du modèle économique</w:t>
      </w:r>
    </w:p>
    <w:p w:rsidR="007A4DF2" w:rsidRDefault="007A4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 :39 :54 </w:t>
      </w:r>
      <w:r w:rsidRPr="007A4DF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fin Questions </w:t>
      </w:r>
    </w:p>
    <w:commentRangeEnd w:id="0"/>
    <w:p w:rsidR="00CD51E4" w:rsidRDefault="00B422A6">
      <w:pPr>
        <w:rPr>
          <w:rFonts w:ascii="Times New Roman" w:hAnsi="Times New Roman" w:cs="Times New Roman"/>
        </w:rPr>
      </w:pPr>
      <w:r>
        <w:rPr>
          <w:rStyle w:val="Marquedecommentaire"/>
        </w:rPr>
        <w:commentReference w:id="0"/>
      </w:r>
    </w:p>
    <w:p w:rsidR="00604D7D" w:rsidRDefault="00604D7D">
      <w:pPr>
        <w:rPr>
          <w:rFonts w:ascii="Times New Roman" w:hAnsi="Times New Roman" w:cs="Times New Roman"/>
        </w:rPr>
      </w:pPr>
      <w:r w:rsidRPr="00B422A6">
        <w:rPr>
          <w:rFonts w:ascii="Times New Roman" w:hAnsi="Times New Roman" w:cs="Times New Roman"/>
          <w:highlight w:val="yellow"/>
        </w:rPr>
        <w:t>L’obsolescence programmée</w:t>
      </w:r>
      <w:r>
        <w:rPr>
          <w:rFonts w:ascii="Times New Roman" w:hAnsi="Times New Roman" w:cs="Times New Roman"/>
        </w:rPr>
        <w:t xml:space="preserve"> est une stratégie visant à réduire volontairement la durée de vie d’un produit afin de forcer au renouvellement de celui-ci. Cette idée a été introduite aux Etats-Unis par Bernard London afin de redresser</w:t>
      </w:r>
      <w:r w:rsidR="009928A6">
        <w:rPr>
          <w:rFonts w:ascii="Times New Roman" w:hAnsi="Times New Roman" w:cs="Times New Roman"/>
        </w:rPr>
        <w:t xml:space="preserve"> de façon durable</w:t>
      </w:r>
      <w:r>
        <w:rPr>
          <w:rFonts w:ascii="Times New Roman" w:hAnsi="Times New Roman" w:cs="Times New Roman"/>
        </w:rPr>
        <w:t xml:space="preserve"> l’économie à la suite de la crise de 1929.</w:t>
      </w:r>
      <w:r w:rsidR="009928A6">
        <w:rPr>
          <w:rFonts w:ascii="Times New Roman" w:hAnsi="Times New Roman" w:cs="Times New Roman"/>
        </w:rPr>
        <w:t xml:space="preserve"> L’avantage de cette méthode est, par un renouvellement du produit, de créer de l’emploi en faisant tourner les usines, ceci est bon pour la croissance économique du pays.</w:t>
      </w:r>
    </w:p>
    <w:p w:rsidR="009928A6" w:rsidRDefault="00992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problème qui se pose alors est que la planète ne propose pas des ressources illimitées</w:t>
      </w:r>
      <w:commentRangeStart w:id="1"/>
      <w:r>
        <w:rPr>
          <w:rFonts w:ascii="Times New Roman" w:hAnsi="Times New Roman" w:cs="Times New Roman"/>
        </w:rPr>
        <w:t>, ceci suppose alors que la croissance permanente du pays est impossible.</w:t>
      </w:r>
      <w:commentRangeEnd w:id="1"/>
      <w:r w:rsidR="00B422A6">
        <w:rPr>
          <w:rStyle w:val="Marquedecommentaire"/>
        </w:rPr>
        <w:commentReference w:id="1"/>
      </w:r>
    </w:p>
    <w:p w:rsidR="00BF6A7A" w:rsidRDefault="00992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L’obsolescence </w:t>
      </w:r>
      <w:r w:rsidR="00BF6A7A">
        <w:rPr>
          <w:rFonts w:ascii="Times New Roman" w:hAnsi="Times New Roman" w:cs="Times New Roman"/>
        </w:rPr>
        <w:t>programmée</w:t>
      </w:r>
      <w:r>
        <w:rPr>
          <w:rFonts w:ascii="Times New Roman" w:hAnsi="Times New Roman" w:cs="Times New Roman"/>
        </w:rPr>
        <w:t xml:space="preserve"> peut se présenter sous différents aspects :</w:t>
      </w:r>
    </w:p>
    <w:p w:rsidR="009928A6" w:rsidRDefault="009928A6" w:rsidP="009928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Fonctionnelle ou technologique :</w:t>
      </w:r>
      <w:r w:rsidR="00CB7F2C">
        <w:rPr>
          <w:rFonts w:ascii="Times New Roman" w:hAnsi="Times New Roman" w:cs="Times New Roman"/>
        </w:rPr>
        <w:t xml:space="preserve"> ce sont les produits</w:t>
      </w:r>
      <w:r>
        <w:rPr>
          <w:rFonts w:ascii="Times New Roman" w:hAnsi="Times New Roman" w:cs="Times New Roman"/>
        </w:rPr>
        <w:t xml:space="preserve"> irréparables</w:t>
      </w:r>
      <w:r w:rsidR="00BF6A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 d’</w:t>
      </w:r>
      <w:r w:rsidR="00BF6A7A">
        <w:rPr>
          <w:rFonts w:ascii="Times New Roman" w:hAnsi="Times New Roman" w:cs="Times New Roman"/>
        </w:rPr>
        <w:t>une durée de vie limi</w:t>
      </w:r>
      <w:r w:rsidR="00CB7F2C">
        <w:rPr>
          <w:rFonts w:ascii="Times New Roman" w:hAnsi="Times New Roman" w:cs="Times New Roman"/>
        </w:rPr>
        <w:t>tée (blocage du fonctionnement</w:t>
      </w:r>
      <w:r w:rsidR="00BF6A7A">
        <w:rPr>
          <w:rFonts w:ascii="Times New Roman" w:hAnsi="Times New Roman" w:cs="Times New Roman"/>
        </w:rPr>
        <w:t>…</w:t>
      </w:r>
      <w:r w:rsidR="00CB7F2C">
        <w:rPr>
          <w:rFonts w:ascii="Times New Roman" w:hAnsi="Times New Roman" w:cs="Times New Roman"/>
        </w:rPr>
        <w:t>)</w:t>
      </w:r>
    </w:p>
    <w:p w:rsidR="00BF6A7A" w:rsidRDefault="00BF6A7A" w:rsidP="009928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Psychologique et esthétique : attrait pour un nouveau design, </w:t>
      </w:r>
      <w:r w:rsidRPr="00DA691F">
        <w:rPr>
          <w:rFonts w:ascii="Times New Roman" w:hAnsi="Times New Roman" w:cs="Times New Roman"/>
          <w:highlight w:val="yellow"/>
        </w:rPr>
        <w:t>remplacé un produit</w:t>
      </w:r>
      <w:r>
        <w:rPr>
          <w:rFonts w:ascii="Times New Roman" w:hAnsi="Times New Roman" w:cs="Times New Roman"/>
        </w:rPr>
        <w:t xml:space="preserve"> qui fonctionne pour un nouveau produit parce que celui-ci est écologique </w:t>
      </w:r>
      <w:commentRangeStart w:id="2"/>
      <w:r>
        <w:rPr>
          <w:rFonts w:ascii="Times New Roman" w:hAnsi="Times New Roman" w:cs="Times New Roman"/>
        </w:rPr>
        <w:t xml:space="preserve">(prime à la casse). </w:t>
      </w:r>
      <w:commentRangeEnd w:id="2"/>
      <w:r w:rsidR="00DA691F">
        <w:rPr>
          <w:rStyle w:val="Marquedecommentaire"/>
        </w:rPr>
        <w:commentReference w:id="2"/>
      </w:r>
    </w:p>
    <w:p w:rsidR="009928A6" w:rsidRDefault="004C3DC8" w:rsidP="004C3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L’impact d’un produit se fait en amont de l’utilisation mais aussi en aval. En amont se trouve la fabrication du produit, et don</w:t>
      </w:r>
      <w:r w:rsidR="007A4DF2">
        <w:rPr>
          <w:rFonts w:ascii="Times New Roman" w:hAnsi="Times New Roman" w:cs="Times New Roman"/>
        </w:rPr>
        <w:t xml:space="preserve">c la consommation de ressources. </w:t>
      </w:r>
      <w:r>
        <w:rPr>
          <w:rFonts w:ascii="Times New Roman" w:hAnsi="Times New Roman" w:cs="Times New Roman"/>
        </w:rPr>
        <w:t xml:space="preserve">En aval, la gestion de la quantité de déchets et de leur toxicité. Les impacts du produit en question sont traduits par la notion </w:t>
      </w:r>
      <w:r w:rsidRPr="00DA691F">
        <w:rPr>
          <w:rFonts w:ascii="Times New Roman" w:hAnsi="Times New Roman" w:cs="Times New Roman"/>
          <w:highlight w:val="yellow"/>
        </w:rPr>
        <w:t>de sac à dos écologique</w:t>
      </w:r>
      <w:r>
        <w:rPr>
          <w:rFonts w:ascii="Times New Roman" w:hAnsi="Times New Roman" w:cs="Times New Roman"/>
        </w:rPr>
        <w:t>. Le sac à dos écologique est l’ensemble des déchets produits sur tout son cycle de vie.</w:t>
      </w:r>
      <w:r w:rsidR="004764CD">
        <w:rPr>
          <w:rFonts w:ascii="Times New Roman" w:hAnsi="Times New Roman" w:cs="Times New Roman"/>
        </w:rPr>
        <w:t xml:space="preserve"> Le sac à dos écologique d’un ordinateur portable (de m=2.8 kg) correspond à une masse de 434kg.</w:t>
      </w:r>
    </w:p>
    <w:p w:rsidR="004764CD" w:rsidRDefault="004764CD" w:rsidP="004C3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France, on produit 120</w:t>
      </w:r>
      <w:r w:rsidR="007A4D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kg de déchets d’équipements électriques et électroniques par habitant et par année, seul environ 25% de ces déchets sont recyclés, le reste est incinéré en majorité</w:t>
      </w:r>
      <w:r w:rsidR="007C3C5B">
        <w:rPr>
          <w:rFonts w:ascii="Times New Roman" w:hAnsi="Times New Roman" w:cs="Times New Roman"/>
        </w:rPr>
        <w:t xml:space="preserve"> (sachant qu’incinérer demande beaucoup d’énergie)</w:t>
      </w:r>
      <w:r w:rsidR="007A4DF2">
        <w:rPr>
          <w:rFonts w:ascii="Times New Roman" w:hAnsi="Times New Roman" w:cs="Times New Roman"/>
        </w:rPr>
        <w:t>.</w:t>
      </w:r>
    </w:p>
    <w:p w:rsidR="007A4DF2" w:rsidRDefault="007A4DF2" w:rsidP="004C3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Afin de pallier aux différents problèmes évoqués, un changement de modèle économique serait requis. </w:t>
      </w:r>
    </w:p>
    <w:p w:rsidR="007C3C5B" w:rsidRPr="004C3DC8" w:rsidRDefault="007C3C5B" w:rsidP="004C3DC8">
      <w:pPr>
        <w:rPr>
          <w:rFonts w:ascii="Times New Roman" w:hAnsi="Times New Roman" w:cs="Times New Roman"/>
        </w:rPr>
      </w:pPr>
    </w:p>
    <w:p w:rsidR="00604D7D" w:rsidRPr="00CD51E4" w:rsidRDefault="00604D7D">
      <w:pPr>
        <w:rPr>
          <w:rFonts w:ascii="Times New Roman" w:hAnsi="Times New Roman" w:cs="Times New Roman"/>
        </w:rPr>
      </w:pPr>
    </w:p>
    <w:p w:rsidR="00AA34B6" w:rsidRDefault="00DE02D9">
      <w:commentRangeStart w:id="3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.35pt;margin-top:198.35pt;width:274.5pt;height:27pt;z-index:251667456" stroked="f">
            <v:textbox>
              <w:txbxContent>
                <w:p w:rsidR="00CB7F2C" w:rsidRDefault="00CB7F2C">
                  <w:r>
                    <w:t>Changement du modèle économique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6" style="position:absolute;margin-left:6.4pt;margin-top:13.85pt;width:456pt;height:164.25pt;z-index:251666432" coordorigin="1545,10785" coordsize="9120,3285">
            <v:roundrect id="_x0000_s1026" style="position:absolute;left:1545;top:10800;width:2745;height:855" arcsize="10923f" fillcolor="#c0504d [3205]" strokecolor="#c0504d [3205]" strokeweight="10pt">
              <v:stroke linestyle="thinThin"/>
              <v:shadow color="#868686"/>
              <v:textbox style="mso-next-textbox:#_x0000_s1026">
                <w:txbxContent>
                  <w:p w:rsidR="00842CAD" w:rsidRPr="00842CAD" w:rsidRDefault="00842CAD" w:rsidP="00842CAD">
                    <w:pPr>
                      <w:spacing w:after="0"/>
                      <w:rPr>
                        <w:color w:val="FFFFFF" w:themeColor="background1"/>
                        <w:sz w:val="24"/>
                      </w:rPr>
                    </w:pPr>
                    <w:r w:rsidRPr="00842CAD">
                      <w:rPr>
                        <w:color w:val="FFFFFF" w:themeColor="background1"/>
                        <w:sz w:val="24"/>
                      </w:rPr>
                      <w:t>Economie de produits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7" type="#_x0000_t13" style="position:absolute;left:4650;top:11040;width:2505;height:360" fillcolor="#c0504d [3205]" stroked="f">
              <v:fill color2="#76923c [2406]" rotate="t" angle="-90" focus="100%" type="gradient"/>
            </v:shape>
            <v:roundrect id="_x0000_s1028" style="position:absolute;left:7575;top:10785;width:2745;height:855" arcsize="10923f" fillcolor="#9bbb59 [3206]" strokecolor="#9bbb59 [3206]" strokeweight="10pt">
              <v:stroke linestyle="thinThin"/>
              <v:shadow color="#868686"/>
              <v:textbox style="mso-next-textbox:#_x0000_s1028">
                <w:txbxContent>
                  <w:p w:rsidR="00842CAD" w:rsidRPr="00842CAD" w:rsidRDefault="00842CAD" w:rsidP="00842CAD">
                    <w:pPr>
                      <w:spacing w:after="0"/>
                      <w:rPr>
                        <w:color w:val="FFFFFF" w:themeColor="background1"/>
                        <w:sz w:val="24"/>
                      </w:rPr>
                    </w:pPr>
                    <w:r w:rsidRPr="00842CAD">
                      <w:rPr>
                        <w:color w:val="FFFFFF" w:themeColor="background1"/>
                        <w:sz w:val="24"/>
                      </w:rPr>
                      <w:t xml:space="preserve">Economie de </w:t>
                    </w:r>
                    <w:r>
                      <w:rPr>
                        <w:color w:val="FFFFFF" w:themeColor="background1"/>
                        <w:sz w:val="24"/>
                      </w:rPr>
                      <w:t>services</w:t>
                    </w:r>
                  </w:p>
                </w:txbxContent>
              </v:textbox>
            </v:roundrect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9" type="#_x0000_t9" style="position:absolute;left:2175;top:11970;width:1455;height:660" fillcolor="white [3201]" strokecolor="#c0504d [3205]" strokeweight="1pt">
              <v:stroke dashstyle="dash"/>
              <v:shadow color="#868686"/>
              <v:textbox style="mso-next-textbox:#_x0000_s1029">
                <w:txbxContent>
                  <w:p w:rsidR="00842CAD" w:rsidRPr="00842CAD" w:rsidRDefault="00CB7F2C">
                    <w:pPr>
                      <w:rPr>
                        <w:color w:val="C0504D" w:themeColor="accent2"/>
                        <w:sz w:val="24"/>
                      </w:rPr>
                    </w:pPr>
                    <w:r>
                      <w:rPr>
                        <w:color w:val="C0504D" w:themeColor="accent2"/>
                        <w:sz w:val="24"/>
                      </w:rPr>
                      <w:t>ACHAT</w:t>
                    </w:r>
                  </w:p>
                </w:txbxContent>
              </v:textbox>
            </v:shape>
            <v:shape id="_x0000_s1030" type="#_x0000_t9" style="position:absolute;left:6450;top:11970;width:1995;height:930" fillcolor="white [3201]" strokecolor="#9bbb59 [3206]" strokeweight="1pt">
              <v:stroke dashstyle="dash"/>
              <v:shadow color="#868686"/>
              <v:textbox style="mso-next-textbox:#_x0000_s1030" inset=",0,,0">
                <w:txbxContent>
                  <w:p w:rsidR="00842CAD" w:rsidRPr="00842CAD" w:rsidRDefault="00842CAD" w:rsidP="00842CAD">
                    <w:pPr>
                      <w:spacing w:after="0"/>
                      <w:rPr>
                        <w:color w:val="9BBB59" w:themeColor="accent3"/>
                        <w:sz w:val="24"/>
                        <w:szCs w:val="24"/>
                      </w:rPr>
                    </w:pPr>
                    <w:r w:rsidRPr="00842CAD">
                      <w:rPr>
                        <w:color w:val="9BBB59" w:themeColor="accent3"/>
                        <w:sz w:val="24"/>
                        <w:szCs w:val="24"/>
                      </w:rPr>
                      <w:t>GARANTIE de 10 ans</w:t>
                    </w:r>
                  </w:p>
                </w:txbxContent>
              </v:textbox>
            </v:shape>
            <v:shape id="_x0000_s1031" type="#_x0000_t9" style="position:absolute;left:8550;top:11970;width:2115;height:930" fillcolor="white [3201]" strokecolor="#9bbb59 [3206]" strokeweight="1pt">
              <v:stroke dashstyle="dash"/>
              <v:shadow color="#868686"/>
              <v:textbox style="mso-next-textbox:#_x0000_s1031" inset="0,0,0,0">
                <w:txbxContent>
                  <w:p w:rsidR="00842CAD" w:rsidRPr="00842CAD" w:rsidRDefault="00842CAD" w:rsidP="00842CAD">
                    <w:pPr>
                      <w:spacing w:after="0"/>
                      <w:rPr>
                        <w:color w:val="9BBB59" w:themeColor="accent3"/>
                        <w:sz w:val="20"/>
                        <w:szCs w:val="20"/>
                      </w:rPr>
                    </w:pPr>
                    <w:r w:rsidRPr="00842CAD">
                      <w:rPr>
                        <w:color w:val="9BBB59" w:themeColor="accent3"/>
                        <w:sz w:val="20"/>
                        <w:szCs w:val="20"/>
                      </w:rPr>
                      <w:t>Disponibilité de pièces détachées</w:t>
                    </w:r>
                  </w:p>
                </w:txbxContent>
              </v:textbox>
            </v:shape>
            <v:shape id="_x0000_s1032" type="#_x0000_t9" style="position:absolute;left:6330;top:13050;width:2115;height:930" fillcolor="white [3201]" strokecolor="#9bbb59 [3206]" strokeweight="1pt">
              <v:stroke dashstyle="dash"/>
              <v:shadow color="#868686"/>
              <v:textbox style="mso-next-textbox:#_x0000_s1032" inset="0,0,0,0">
                <w:txbxContent>
                  <w:p w:rsidR="00842CAD" w:rsidRPr="00842CAD" w:rsidRDefault="00842CAD" w:rsidP="00842CAD">
                    <w:pPr>
                      <w:spacing w:after="0"/>
                      <w:rPr>
                        <w:color w:val="9BBB59" w:themeColor="accent3"/>
                        <w:sz w:val="20"/>
                        <w:szCs w:val="20"/>
                      </w:rPr>
                    </w:pPr>
                    <w:r>
                      <w:rPr>
                        <w:color w:val="9BBB59" w:themeColor="accent3"/>
                        <w:sz w:val="20"/>
                        <w:szCs w:val="20"/>
                      </w:rPr>
                      <w:t>Personnel formé à la réparation</w:t>
                    </w:r>
                  </w:p>
                </w:txbxContent>
              </v:textbox>
            </v:shape>
            <v:shape id="_x0000_s1033" type="#_x0000_t9" style="position:absolute;left:8550;top:13140;width:2115;height:930;v-text-anchor:middle" fillcolor="white [3201]" strokecolor="#9bbb59 [3206]" strokeweight="1pt">
              <v:stroke dashstyle="dash"/>
              <v:shadow color="#868686"/>
              <v:textbox style="mso-next-textbox:#_x0000_s1033" inset="0,0,0,0">
                <w:txbxContent>
                  <w:p w:rsidR="00CB7F2C" w:rsidRPr="00CB7F2C" w:rsidRDefault="00CB7F2C" w:rsidP="00CB7F2C">
                    <w:pPr>
                      <w:spacing w:after="0"/>
                      <w:jc w:val="center"/>
                      <w:rPr>
                        <w:color w:val="9BBB59" w:themeColor="accent3"/>
                        <w:sz w:val="16"/>
                        <w:szCs w:val="16"/>
                      </w:rPr>
                    </w:pPr>
                    <w:r w:rsidRPr="00CB7F2C">
                      <w:rPr>
                        <w:color w:val="9BBB59" w:themeColor="accent3"/>
                        <w:sz w:val="16"/>
                        <w:szCs w:val="16"/>
                      </w:rPr>
                      <w:t xml:space="preserve">Vente de </w:t>
                    </w:r>
                    <w:r>
                      <w:rPr>
                        <w:color w:val="9BBB59" w:themeColor="accent3"/>
                        <w:sz w:val="16"/>
                        <w:szCs w:val="16"/>
                      </w:rPr>
                      <w:t xml:space="preserve">                        </w:t>
                    </w:r>
                    <w:r w:rsidRPr="00CB7F2C">
                      <w:rPr>
                        <w:color w:val="9BBB59" w:themeColor="accent3"/>
                        <w:sz w:val="16"/>
                        <w:szCs w:val="16"/>
                      </w:rPr>
                      <w:t>l’information de réparation</w:t>
                    </w:r>
                  </w:p>
                </w:txbxContent>
              </v:textbox>
            </v:shape>
          </v:group>
        </w:pict>
      </w:r>
      <w:commentRangeEnd w:id="3"/>
      <w:r w:rsidR="00DA691F">
        <w:rPr>
          <w:rStyle w:val="Marquedecommentaire"/>
        </w:rPr>
        <w:commentReference w:id="3"/>
      </w:r>
    </w:p>
    <w:sectPr w:rsidR="00AA34B6" w:rsidSect="00FE10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ollivet" w:date="2013-03-08T19:42:00Z" w:initials="j">
    <w:p w:rsidR="00B422A6" w:rsidRDefault="00B422A6">
      <w:pPr>
        <w:pStyle w:val="Commentaire"/>
      </w:pPr>
      <w:r>
        <w:rPr>
          <w:rStyle w:val="Marquedecommentaire"/>
        </w:rPr>
        <w:annotationRef/>
      </w:r>
      <w:r>
        <w:t>Limité …</w:t>
      </w:r>
    </w:p>
  </w:comment>
  <w:comment w:id="1" w:author="jollivet" w:date="2013-03-08T19:43:00Z" w:initials="j">
    <w:p w:rsidR="00B422A6" w:rsidRDefault="00B422A6">
      <w:pPr>
        <w:pStyle w:val="Commentaire"/>
      </w:pPr>
      <w:r>
        <w:rPr>
          <w:rStyle w:val="Marquedecommentaire"/>
        </w:rPr>
        <w:annotationRef/>
      </w:r>
      <w:r>
        <w:t xml:space="preserve"> Syntaxe ? </w:t>
      </w:r>
    </w:p>
  </w:comment>
  <w:comment w:id="2" w:author="jollivet" w:date="2013-03-08T19:44:00Z" w:initials="j">
    <w:p w:rsidR="00DA691F" w:rsidRDefault="00DA691F">
      <w:pPr>
        <w:pStyle w:val="Commentaire"/>
      </w:pPr>
      <w:r>
        <w:rPr>
          <w:rStyle w:val="Marquedecommentaire"/>
        </w:rPr>
        <w:annotationRef/>
      </w:r>
      <w:r>
        <w:t xml:space="preserve"> Non. </w:t>
      </w:r>
    </w:p>
  </w:comment>
  <w:comment w:id="3" w:author="jollivet" w:date="2013-03-08T19:45:00Z" w:initials="j">
    <w:p w:rsidR="00DA691F" w:rsidRDefault="00DA691F">
      <w:pPr>
        <w:pStyle w:val="Commentaire"/>
      </w:pPr>
      <w:r>
        <w:rPr>
          <w:rStyle w:val="Marquedecommentaire"/>
        </w:rPr>
        <w:annotationRef/>
      </w:r>
      <w:r>
        <w:t>Il y a plus que ça dans l’éconmie des services…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0C" w:rsidRDefault="0051150C" w:rsidP="007A4DF2">
      <w:pPr>
        <w:spacing w:after="0" w:line="240" w:lineRule="auto"/>
      </w:pPr>
      <w:r>
        <w:separator/>
      </w:r>
    </w:p>
  </w:endnote>
  <w:endnote w:type="continuationSeparator" w:id="0">
    <w:p w:rsidR="0051150C" w:rsidRDefault="0051150C" w:rsidP="007A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97978"/>
      <w:docPartObj>
        <w:docPartGallery w:val="Page Numbers (Bottom of Page)"/>
        <w:docPartUnique/>
      </w:docPartObj>
    </w:sdtPr>
    <w:sdtContent>
      <w:p w:rsidR="007A4DF2" w:rsidRDefault="00DE02D9">
        <w:pPr>
          <w:pStyle w:val="Pieddepage"/>
          <w:jc w:val="right"/>
        </w:pPr>
        <w:fldSimple w:instr=" PAGE   \* MERGEFORMAT ">
          <w:r w:rsidR="00DA691F">
            <w:rPr>
              <w:noProof/>
            </w:rPr>
            <w:t>2</w:t>
          </w:r>
        </w:fldSimple>
      </w:p>
    </w:sdtContent>
  </w:sdt>
  <w:p w:rsidR="007A4DF2" w:rsidRDefault="007A4D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0C" w:rsidRDefault="0051150C" w:rsidP="007A4DF2">
      <w:pPr>
        <w:spacing w:after="0" w:line="240" w:lineRule="auto"/>
      </w:pPr>
      <w:r>
        <w:separator/>
      </w:r>
    </w:p>
  </w:footnote>
  <w:footnote w:type="continuationSeparator" w:id="0">
    <w:p w:rsidR="0051150C" w:rsidRDefault="0051150C" w:rsidP="007A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DF2" w:rsidRDefault="007A4DF2" w:rsidP="007A4DF2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DD01 : Séminaire de développement durable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Souganya Joseph GP03</w:t>
    </w:r>
  </w:p>
  <w:p w:rsidR="007A4DF2" w:rsidRDefault="007A4D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FA8"/>
    <w:multiLevelType w:val="hybridMultilevel"/>
    <w:tmpl w:val="90F80200"/>
    <w:lvl w:ilvl="0" w:tplc="DE8C42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34B6"/>
    <w:rsid w:val="002831A1"/>
    <w:rsid w:val="003C4DFC"/>
    <w:rsid w:val="0040010A"/>
    <w:rsid w:val="004764CD"/>
    <w:rsid w:val="004C3DC8"/>
    <w:rsid w:val="0051150C"/>
    <w:rsid w:val="00604D7D"/>
    <w:rsid w:val="007A4DF2"/>
    <w:rsid w:val="007C3C5B"/>
    <w:rsid w:val="007D3317"/>
    <w:rsid w:val="007F304F"/>
    <w:rsid w:val="00842CAD"/>
    <w:rsid w:val="00927240"/>
    <w:rsid w:val="009928A6"/>
    <w:rsid w:val="00AA34B6"/>
    <w:rsid w:val="00B422A6"/>
    <w:rsid w:val="00BF6A7A"/>
    <w:rsid w:val="00C227F8"/>
    <w:rsid w:val="00C83288"/>
    <w:rsid w:val="00CB7F2C"/>
    <w:rsid w:val="00CD51E4"/>
    <w:rsid w:val="00DA691F"/>
    <w:rsid w:val="00DD0423"/>
    <w:rsid w:val="00DE02D9"/>
    <w:rsid w:val="00F36C4B"/>
    <w:rsid w:val="00F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28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6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C4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4DF2"/>
  </w:style>
  <w:style w:type="paragraph" w:styleId="Pieddepage">
    <w:name w:val="footer"/>
    <w:basedOn w:val="Normal"/>
    <w:link w:val="PieddepageCar"/>
    <w:uiPriority w:val="99"/>
    <w:unhideWhenUsed/>
    <w:rsid w:val="007A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DF2"/>
  </w:style>
  <w:style w:type="paragraph" w:styleId="Titre">
    <w:name w:val="Title"/>
    <w:basedOn w:val="Normal"/>
    <w:next w:val="Normal"/>
    <w:link w:val="TitreCar"/>
    <w:uiPriority w:val="10"/>
    <w:qFormat/>
    <w:rsid w:val="003C4D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4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rsid w:val="00B422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22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22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22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2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C011-C4F4-4B2B-971C-1DF8B29A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soug</dc:creator>
  <cp:lastModifiedBy>jollivet</cp:lastModifiedBy>
  <cp:revision>3</cp:revision>
  <dcterms:created xsi:type="dcterms:W3CDTF">2013-03-08T18:44:00Z</dcterms:created>
  <dcterms:modified xsi:type="dcterms:W3CDTF">2013-03-08T18:45:00Z</dcterms:modified>
</cp:coreProperties>
</file>