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90" w:rsidRDefault="00651390">
      <w:pPr>
        <w:rPr>
          <w:b/>
          <w:sz w:val="24"/>
          <w:szCs w:val="24"/>
        </w:rPr>
      </w:pPr>
    </w:p>
    <w:p w:rsidR="00651390" w:rsidRDefault="00651390" w:rsidP="00651390">
      <w:pPr>
        <w:jc w:val="center"/>
        <w:rPr>
          <w:b/>
          <w:sz w:val="40"/>
          <w:szCs w:val="40"/>
        </w:rPr>
      </w:pPr>
    </w:p>
    <w:p w:rsidR="00651390" w:rsidRPr="00651390" w:rsidRDefault="00651390" w:rsidP="00651390">
      <w:pPr>
        <w:jc w:val="center"/>
        <w:rPr>
          <w:b/>
          <w:sz w:val="40"/>
          <w:szCs w:val="40"/>
        </w:rPr>
      </w:pPr>
      <w:r w:rsidRPr="00651390">
        <w:rPr>
          <w:b/>
          <w:sz w:val="40"/>
          <w:szCs w:val="40"/>
        </w:rPr>
        <w:t>SOIREE ETUDIANTES : CADRE REGLEMENTAIRE</w:t>
      </w:r>
    </w:p>
    <w:p w:rsidR="00651390" w:rsidRDefault="00651390">
      <w:pPr>
        <w:rPr>
          <w:b/>
          <w:sz w:val="24"/>
          <w:szCs w:val="24"/>
        </w:rPr>
      </w:pPr>
    </w:p>
    <w:p w:rsidR="00651390" w:rsidRDefault="00651390">
      <w:pPr>
        <w:rPr>
          <w:b/>
          <w:sz w:val="24"/>
          <w:szCs w:val="24"/>
        </w:rPr>
      </w:pPr>
    </w:p>
    <w:p w:rsidR="00A34B26" w:rsidRPr="00651390" w:rsidRDefault="001B06D6">
      <w:pPr>
        <w:rPr>
          <w:b/>
          <w:sz w:val="28"/>
          <w:szCs w:val="28"/>
        </w:rPr>
      </w:pPr>
      <w:r w:rsidRPr="00651390">
        <w:rPr>
          <w:b/>
          <w:sz w:val="28"/>
          <w:szCs w:val="28"/>
        </w:rPr>
        <w:t>Consommation d’alcool :</w:t>
      </w:r>
    </w:p>
    <w:p w:rsidR="001B06D6" w:rsidRPr="00651390" w:rsidRDefault="001B06D6" w:rsidP="00D700F3">
      <w:pPr>
        <w:contextualSpacing/>
        <w:rPr>
          <w:sz w:val="28"/>
          <w:szCs w:val="28"/>
        </w:rPr>
      </w:pPr>
    </w:p>
    <w:p w:rsidR="00D700F3" w:rsidRPr="008A3B00" w:rsidRDefault="00D700F3" w:rsidP="00D700F3">
      <w:pPr>
        <w:contextualSpacing/>
        <w:jc w:val="both"/>
        <w:rPr>
          <w:sz w:val="24"/>
          <w:szCs w:val="24"/>
        </w:rPr>
      </w:pPr>
      <w:r w:rsidRPr="008A3B00">
        <w:rPr>
          <w:sz w:val="24"/>
          <w:szCs w:val="24"/>
        </w:rPr>
        <w:tab/>
        <w:t>L’organisation de soirée par une association étudiante où des boissons alcoolisées sont mises à disposition doit répondre à certaines règles :</w:t>
      </w:r>
    </w:p>
    <w:p w:rsidR="00D700F3" w:rsidRPr="008A3B00" w:rsidRDefault="00D700F3" w:rsidP="00D700F3">
      <w:pPr>
        <w:pStyle w:val="Paragraphedeliste"/>
        <w:numPr>
          <w:ilvl w:val="0"/>
          <w:numId w:val="5"/>
        </w:numPr>
        <w:jc w:val="both"/>
        <w:rPr>
          <w:sz w:val="24"/>
          <w:szCs w:val="24"/>
        </w:rPr>
      </w:pPr>
      <w:r w:rsidRPr="008A3B00">
        <w:rPr>
          <w:i/>
          <w:sz w:val="24"/>
          <w:szCs w:val="24"/>
        </w:rPr>
        <w:t>« Les associations qui établissent des cafés ou débits de boissons pour la durée des manifestations publiques […] doivent obtenir l'autorisation de l'autorité municipale dans la limite de cinq autorisations annuelles pour chaque association. »</w:t>
      </w:r>
      <w:r w:rsidRPr="008A3B00">
        <w:rPr>
          <w:sz w:val="24"/>
          <w:szCs w:val="24"/>
        </w:rPr>
        <w:t xml:space="preserve"> (article L3334-2 du Code de la Santé Publique)</w:t>
      </w:r>
      <w:r w:rsidR="00A50A7F">
        <w:rPr>
          <w:sz w:val="24"/>
          <w:szCs w:val="24"/>
        </w:rPr>
        <w:t>. L’association est tenue de faire cette demande quinze au moins avant la date de la manifestation.</w:t>
      </w:r>
    </w:p>
    <w:p w:rsidR="00D700F3" w:rsidRPr="008A3B00" w:rsidRDefault="00D700F3" w:rsidP="00D700F3">
      <w:pPr>
        <w:pStyle w:val="NormalWeb"/>
        <w:numPr>
          <w:ilvl w:val="0"/>
          <w:numId w:val="5"/>
        </w:numPr>
        <w:jc w:val="both"/>
        <w:rPr>
          <w:rFonts w:asciiTheme="minorHAnsi" w:hAnsiTheme="minorHAnsi"/>
        </w:rPr>
      </w:pPr>
      <w:r w:rsidRPr="008A3B00">
        <w:rPr>
          <w:rFonts w:asciiTheme="minorHAnsi" w:hAnsiTheme="minorHAnsi"/>
          <w:i/>
        </w:rPr>
        <w:t>« Dans les débits et cafés ouverts dans de telles conditions, il ne peut être vendu ou offert, sous quelque forme que ce soit, que des boissons des deux premiers groupes définis à l'article L. 3321-1 »,</w:t>
      </w:r>
      <w:r w:rsidRPr="008A3B00">
        <w:rPr>
          <w:rFonts w:asciiTheme="minorHAnsi" w:hAnsiTheme="minorHAnsi"/>
        </w:rPr>
        <w:t xml:space="preserve"> c’est-à-dire des boissons non alcoolisé</w:t>
      </w:r>
      <w:r w:rsidR="00853C40">
        <w:rPr>
          <w:rFonts w:asciiTheme="minorHAnsi" w:hAnsiTheme="minorHAnsi"/>
        </w:rPr>
        <w:t>e</w:t>
      </w:r>
      <w:r w:rsidRPr="008A3B00">
        <w:rPr>
          <w:rFonts w:asciiTheme="minorHAnsi" w:hAnsiTheme="minorHAnsi"/>
        </w:rPr>
        <w:t>s ou des boissons fermentées non distillées (vin, bière, cidre, etc.) (article L3334-2 du Code de la Santé Publique) ;</w:t>
      </w:r>
    </w:p>
    <w:p w:rsidR="00D700F3" w:rsidRPr="008A3B00" w:rsidRDefault="00D700F3" w:rsidP="00D700F3">
      <w:pPr>
        <w:pStyle w:val="Paragraphedeliste"/>
        <w:numPr>
          <w:ilvl w:val="0"/>
          <w:numId w:val="5"/>
        </w:numPr>
        <w:jc w:val="both"/>
        <w:rPr>
          <w:sz w:val="24"/>
          <w:szCs w:val="24"/>
        </w:rPr>
      </w:pPr>
      <w:r w:rsidRPr="008A3B00">
        <w:rPr>
          <w:sz w:val="24"/>
          <w:szCs w:val="24"/>
        </w:rPr>
        <w:t>L’ivresse dans les lieux publics peut-être réprimée et une personne ivre peut être conduite par mesure de police à ses frais au poste le plus proche. (article L3341-1 du Code de la Santé Publique) ;</w:t>
      </w:r>
    </w:p>
    <w:p w:rsidR="00D700F3" w:rsidRPr="008A3B00" w:rsidRDefault="00D700F3" w:rsidP="00D700F3">
      <w:pPr>
        <w:pStyle w:val="Paragraphedeliste"/>
        <w:numPr>
          <w:ilvl w:val="0"/>
          <w:numId w:val="5"/>
        </w:numPr>
        <w:jc w:val="both"/>
        <w:rPr>
          <w:sz w:val="24"/>
          <w:szCs w:val="24"/>
        </w:rPr>
      </w:pPr>
      <w:r w:rsidRPr="008A3B00">
        <w:rPr>
          <w:sz w:val="24"/>
          <w:szCs w:val="24"/>
        </w:rPr>
        <w:t>La vente d’alcool ainsi que sa distribution à titre gratuit, est interdite aux mineurs. (article L3342-1du Code de la Santé Publique) ;</w:t>
      </w:r>
    </w:p>
    <w:p w:rsidR="00D700F3" w:rsidRDefault="00D700F3" w:rsidP="00D700F3">
      <w:pPr>
        <w:pStyle w:val="Paragraphedeliste"/>
        <w:numPr>
          <w:ilvl w:val="0"/>
          <w:numId w:val="5"/>
        </w:numPr>
        <w:jc w:val="both"/>
        <w:rPr>
          <w:sz w:val="24"/>
          <w:szCs w:val="24"/>
        </w:rPr>
      </w:pPr>
      <w:r w:rsidRPr="008A3B00">
        <w:rPr>
          <w:sz w:val="24"/>
          <w:szCs w:val="24"/>
        </w:rPr>
        <w:t xml:space="preserve">Les soirées de type « opens-bars » sont interdites : </w:t>
      </w:r>
      <w:r w:rsidRPr="008A3B00">
        <w:rPr>
          <w:i/>
          <w:sz w:val="24"/>
          <w:szCs w:val="24"/>
        </w:rPr>
        <w:t>« il est interdit d'offrir gratuitement à volonté des boissons alcooliques dans un but commercial ou de les vendre à titre principal contre une somme forfaitaire »</w:t>
      </w:r>
      <w:r w:rsidRPr="008A3B00">
        <w:rPr>
          <w:sz w:val="24"/>
          <w:szCs w:val="24"/>
        </w:rPr>
        <w:t xml:space="preserve"> (article L3322-9 du Code de la Santé Publique)</w:t>
      </w:r>
      <w:r w:rsidR="008A3B00" w:rsidRPr="008A3B00">
        <w:rPr>
          <w:sz w:val="24"/>
          <w:szCs w:val="24"/>
        </w:rPr>
        <w:t>.</w:t>
      </w:r>
    </w:p>
    <w:p w:rsidR="00A50A7F" w:rsidRDefault="00A50A7F" w:rsidP="00A50A7F">
      <w:pPr>
        <w:jc w:val="both"/>
        <w:rPr>
          <w:sz w:val="24"/>
          <w:szCs w:val="24"/>
        </w:rPr>
      </w:pPr>
    </w:p>
    <w:p w:rsidR="008A3B00" w:rsidRDefault="008A3B00" w:rsidP="008A3B00">
      <w:pPr>
        <w:ind w:firstLine="708"/>
        <w:jc w:val="both"/>
        <w:rPr>
          <w:sz w:val="24"/>
          <w:szCs w:val="24"/>
        </w:rPr>
      </w:pPr>
      <w:r>
        <w:rPr>
          <w:sz w:val="24"/>
          <w:szCs w:val="24"/>
        </w:rPr>
        <w:t xml:space="preserve">Il appartient aux responsables d’associations étudiantes de respecter la réglementation en vigueur car si une faute est commise, leur responsabilité civile et pénale pourra être recherchée. </w:t>
      </w:r>
    </w:p>
    <w:p w:rsidR="008A3B00" w:rsidRPr="008A3B00" w:rsidRDefault="008A3B00" w:rsidP="008A3B00">
      <w:pPr>
        <w:ind w:firstLine="708"/>
        <w:jc w:val="both"/>
        <w:rPr>
          <w:sz w:val="24"/>
          <w:szCs w:val="24"/>
        </w:rPr>
      </w:pPr>
    </w:p>
    <w:p w:rsidR="00F93C0F" w:rsidRDefault="008A3B00" w:rsidP="008A3B00">
      <w:pPr>
        <w:ind w:firstLine="708"/>
        <w:jc w:val="both"/>
        <w:rPr>
          <w:sz w:val="24"/>
          <w:szCs w:val="24"/>
        </w:rPr>
      </w:pPr>
      <w:r w:rsidRPr="008A3B00">
        <w:rPr>
          <w:sz w:val="24"/>
          <w:szCs w:val="24"/>
        </w:rPr>
        <w:t xml:space="preserve">Il est à noter que ces règles ne peuvent s’appliquer aux manifestations étudiantes organisées à l’intérieur des locaux de l’UTC. En effet, l’article L3335-1 du Code de la Santé Publique précise que des débits de boisson ne peuvent être installés autour des </w:t>
      </w:r>
      <w:r w:rsidRPr="008A3B00">
        <w:rPr>
          <w:i/>
          <w:sz w:val="24"/>
          <w:szCs w:val="24"/>
        </w:rPr>
        <w:t>« établissements d'instruction publique et établissements scolaires privés ainsi que tous établissements de formation ou de loisirs de la jeunesse »</w:t>
      </w:r>
      <w:r w:rsidRPr="008A3B00">
        <w:rPr>
          <w:sz w:val="24"/>
          <w:szCs w:val="24"/>
        </w:rPr>
        <w:t xml:space="preserve"> et que cette interdiction inclue également </w:t>
      </w:r>
      <w:r w:rsidRPr="008A3B00">
        <w:rPr>
          <w:i/>
          <w:sz w:val="24"/>
          <w:szCs w:val="24"/>
        </w:rPr>
        <w:t>« l'intérieur des édifices et établissements en cause »</w:t>
      </w:r>
      <w:r w:rsidRPr="008A3B00">
        <w:rPr>
          <w:sz w:val="24"/>
          <w:szCs w:val="24"/>
        </w:rPr>
        <w:t xml:space="preserve">. </w:t>
      </w:r>
    </w:p>
    <w:p w:rsidR="008A3B00" w:rsidRDefault="00853C40" w:rsidP="008A3B00">
      <w:pPr>
        <w:jc w:val="both"/>
      </w:pPr>
      <w:r>
        <w:rPr>
          <w:sz w:val="24"/>
          <w:szCs w:val="24"/>
        </w:rPr>
        <w:tab/>
      </w:r>
      <w:r w:rsidR="000A0C1F">
        <w:rPr>
          <w:sz w:val="24"/>
          <w:szCs w:val="24"/>
        </w:rPr>
        <w:t>Par contre</w:t>
      </w:r>
      <w:r>
        <w:rPr>
          <w:sz w:val="24"/>
          <w:szCs w:val="24"/>
        </w:rPr>
        <w:t xml:space="preserve">, l’UTC a pu tolérer la vente de boisson par le BDE au sein du foyer de la MDE dans le cadre du cercle privé. En effet, aux termes de l’article </w:t>
      </w:r>
      <w:r w:rsidR="000A0C1F">
        <w:rPr>
          <w:sz w:val="24"/>
          <w:szCs w:val="24"/>
        </w:rPr>
        <w:t>1655 du Code général des impôts</w:t>
      </w:r>
      <w:r w:rsidR="000A0C1F" w:rsidRPr="000A0C1F">
        <w:rPr>
          <w:i/>
          <w:sz w:val="24"/>
          <w:szCs w:val="24"/>
        </w:rPr>
        <w:t>,</w:t>
      </w:r>
      <w:r w:rsidR="000A0C1F">
        <w:rPr>
          <w:i/>
          <w:sz w:val="24"/>
          <w:szCs w:val="24"/>
        </w:rPr>
        <w:t xml:space="preserve"> « lorsque </w:t>
      </w:r>
      <w:r w:rsidR="000A0C1F" w:rsidRPr="000A0C1F">
        <w:rPr>
          <w:i/>
        </w:rPr>
        <w:t xml:space="preserve">leur exploitation ne revêt pas un caractère commercial, les cercles privés ne sont pas soumis à la réglementation administrative des débits de boissons, s'ils servent exclusivement des </w:t>
      </w:r>
      <w:r w:rsidR="000A0C1F" w:rsidRPr="000A0C1F">
        <w:rPr>
          <w:i/>
        </w:rPr>
        <w:lastRenderedPageBreak/>
        <w:t>boissons sans alcool, du vin, de la bière, du cidre, du poiré, de l'hydromel, des vins doux naturels bénéficiant du régime fiscal des vins et si leurs adhérents sont seuls admis à consommer.</w:t>
      </w:r>
      <w:r w:rsidR="000A0C1F">
        <w:rPr>
          <w:i/>
        </w:rPr>
        <w:t> »</w:t>
      </w:r>
    </w:p>
    <w:p w:rsidR="000A0C1F" w:rsidRPr="000A0C1F" w:rsidRDefault="000A0C1F" w:rsidP="008A3B00">
      <w:pPr>
        <w:jc w:val="both"/>
        <w:rPr>
          <w:sz w:val="24"/>
          <w:szCs w:val="24"/>
        </w:rPr>
      </w:pPr>
      <w:r>
        <w:tab/>
        <w:t>Cet article concerne les associations au sens de la loi du 1</w:t>
      </w:r>
      <w:r w:rsidRPr="000A0C1F">
        <w:rPr>
          <w:vertAlign w:val="superscript"/>
        </w:rPr>
        <w:t>er</w:t>
      </w:r>
      <w:r>
        <w:t xml:space="preserve"> juillet 1901. Il impose ainsi à ces dernières d’être titulaires d’une licence de débits de boissons à consommer sur place (licence II). Ces associations sont en principe soumises à la réglementation des zones protégées. Toutefois, la jurisprudence a précisé que les cercles privés pouvaient échapper à cette réglementation à la double condition de ne servir que des boissons du 1</w:t>
      </w:r>
      <w:r w:rsidRPr="000A0C1F">
        <w:rPr>
          <w:vertAlign w:val="superscript"/>
        </w:rPr>
        <w:t>er</w:t>
      </w:r>
      <w:r>
        <w:t xml:space="preserve"> et 2</w:t>
      </w:r>
      <w:r w:rsidRPr="000A0C1F">
        <w:rPr>
          <w:vertAlign w:val="superscript"/>
        </w:rPr>
        <w:t>ème</w:t>
      </w:r>
      <w:r>
        <w:t xml:space="preserve"> groupe (licence II), et exclusivement à leurs adhérents. </w:t>
      </w:r>
      <w:r w:rsidR="00383955">
        <w:t>Ainsi le fait de servir des boissons à un non-adhérent, invité ou non par un adhérent, constitue l’ouverture illicite d’un débit de boisson (Cour de Cassation, Chambre criminelle, 23 décembre 1948).</w:t>
      </w:r>
    </w:p>
    <w:p w:rsidR="001B06D6" w:rsidRPr="008A3B00" w:rsidRDefault="001B06D6">
      <w:pPr>
        <w:rPr>
          <w:sz w:val="24"/>
          <w:szCs w:val="24"/>
        </w:rPr>
      </w:pPr>
    </w:p>
    <w:p w:rsidR="00E55D86" w:rsidRDefault="00E55D86">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383955" w:rsidRDefault="00383955">
      <w:pPr>
        <w:rPr>
          <w:b/>
          <w:sz w:val="28"/>
          <w:szCs w:val="28"/>
        </w:rPr>
      </w:pPr>
    </w:p>
    <w:p w:rsidR="00E55D86" w:rsidRDefault="00E55D86">
      <w:pPr>
        <w:rPr>
          <w:b/>
          <w:sz w:val="28"/>
          <w:szCs w:val="28"/>
        </w:rPr>
      </w:pPr>
    </w:p>
    <w:p w:rsidR="001B06D6" w:rsidRPr="00651390" w:rsidRDefault="00D700F3">
      <w:pPr>
        <w:rPr>
          <w:b/>
          <w:sz w:val="28"/>
          <w:szCs w:val="28"/>
        </w:rPr>
      </w:pPr>
      <w:r w:rsidRPr="00651390">
        <w:rPr>
          <w:b/>
          <w:sz w:val="28"/>
          <w:szCs w:val="28"/>
        </w:rPr>
        <w:t xml:space="preserve">Déclaration </w:t>
      </w:r>
      <w:r w:rsidR="001B06D6" w:rsidRPr="00651390">
        <w:rPr>
          <w:b/>
          <w:sz w:val="28"/>
          <w:szCs w:val="28"/>
        </w:rPr>
        <w:t>SACEM :</w:t>
      </w:r>
    </w:p>
    <w:p w:rsidR="00AB1E24" w:rsidRPr="008A3B00" w:rsidRDefault="00AB1E24">
      <w:pPr>
        <w:rPr>
          <w:sz w:val="24"/>
          <w:szCs w:val="24"/>
        </w:rPr>
      </w:pPr>
    </w:p>
    <w:p w:rsidR="001B06D6" w:rsidRPr="008A3B00" w:rsidRDefault="001B06D6" w:rsidP="00AB1E24">
      <w:pPr>
        <w:ind w:firstLine="708"/>
        <w:jc w:val="both"/>
        <w:rPr>
          <w:rFonts w:eastAsia="Times New Roman" w:cs="Times New Roman"/>
          <w:sz w:val="24"/>
          <w:szCs w:val="24"/>
          <w:lang w:eastAsia="fr-FR"/>
        </w:rPr>
      </w:pPr>
      <w:r w:rsidRPr="008A3B00">
        <w:rPr>
          <w:rFonts w:eastAsia="Times New Roman" w:cs="Times New Roman"/>
          <w:sz w:val="24"/>
          <w:szCs w:val="24"/>
          <w:lang w:eastAsia="fr-FR"/>
        </w:rPr>
        <w:t xml:space="preserve">Lors d’une soirée type « bal » ou </w:t>
      </w:r>
      <w:r w:rsidRPr="001B06D6">
        <w:rPr>
          <w:rFonts w:eastAsia="Times New Roman" w:cs="Times New Roman"/>
          <w:sz w:val="24"/>
          <w:szCs w:val="24"/>
          <w:lang w:eastAsia="fr-FR"/>
        </w:rPr>
        <w:t xml:space="preserve"> </w:t>
      </w:r>
      <w:r w:rsidRPr="008A3B00">
        <w:rPr>
          <w:rFonts w:eastAsia="Times New Roman" w:cs="Times New Roman"/>
          <w:sz w:val="24"/>
          <w:szCs w:val="24"/>
          <w:lang w:eastAsia="fr-FR"/>
        </w:rPr>
        <w:t>« </w:t>
      </w:r>
      <w:r w:rsidRPr="001B06D6">
        <w:rPr>
          <w:rFonts w:eastAsia="Times New Roman" w:cs="Times New Roman"/>
          <w:sz w:val="24"/>
          <w:szCs w:val="24"/>
          <w:lang w:eastAsia="fr-FR"/>
        </w:rPr>
        <w:t xml:space="preserve">soirée dansante </w:t>
      </w:r>
      <w:r w:rsidRPr="008A3B00">
        <w:rPr>
          <w:rFonts w:eastAsia="Times New Roman" w:cs="Times New Roman"/>
          <w:sz w:val="24"/>
          <w:szCs w:val="24"/>
          <w:lang w:eastAsia="fr-FR"/>
        </w:rPr>
        <w:t xml:space="preserve">» la diffusion </w:t>
      </w:r>
      <w:r w:rsidRPr="001B06D6">
        <w:rPr>
          <w:rFonts w:eastAsia="Times New Roman" w:cs="Times New Roman"/>
          <w:sz w:val="24"/>
          <w:szCs w:val="24"/>
          <w:lang w:eastAsia="fr-FR"/>
        </w:rPr>
        <w:t>publi</w:t>
      </w:r>
      <w:r w:rsidRPr="008A3B00">
        <w:rPr>
          <w:rFonts w:eastAsia="Times New Roman" w:cs="Times New Roman"/>
          <w:sz w:val="24"/>
          <w:szCs w:val="24"/>
          <w:lang w:eastAsia="fr-FR"/>
        </w:rPr>
        <w:t>que d’œuvres musicales est courante</w:t>
      </w:r>
      <w:r w:rsidRPr="001B06D6">
        <w:rPr>
          <w:rFonts w:eastAsia="Times New Roman" w:cs="Times New Roman"/>
          <w:sz w:val="24"/>
          <w:szCs w:val="24"/>
          <w:lang w:eastAsia="fr-FR"/>
        </w:rPr>
        <w:t xml:space="preserve">. </w:t>
      </w:r>
      <w:r w:rsidRPr="008A3B00">
        <w:rPr>
          <w:rFonts w:eastAsia="Times New Roman" w:cs="Times New Roman"/>
          <w:sz w:val="24"/>
          <w:szCs w:val="24"/>
          <w:lang w:eastAsia="fr-FR"/>
        </w:rPr>
        <w:t>Or la</w:t>
      </w:r>
      <w:r w:rsidRPr="001B06D6">
        <w:rPr>
          <w:rFonts w:eastAsia="Times New Roman" w:cs="Times New Roman"/>
          <w:sz w:val="24"/>
          <w:szCs w:val="24"/>
          <w:lang w:eastAsia="fr-FR"/>
        </w:rPr>
        <w:t xml:space="preserve"> musique appartient</w:t>
      </w:r>
      <w:r w:rsidRPr="008A3B00">
        <w:rPr>
          <w:rFonts w:eastAsia="Times New Roman" w:cs="Times New Roman"/>
          <w:sz w:val="24"/>
          <w:szCs w:val="24"/>
          <w:lang w:eastAsia="fr-FR"/>
        </w:rPr>
        <w:t xml:space="preserve"> aux auteurs/compositeurs</w:t>
      </w:r>
      <w:r w:rsidRPr="001B06D6">
        <w:rPr>
          <w:rFonts w:eastAsia="Times New Roman" w:cs="Times New Roman"/>
          <w:sz w:val="24"/>
          <w:szCs w:val="24"/>
          <w:lang w:eastAsia="fr-FR"/>
        </w:rPr>
        <w:t xml:space="preserve">. </w:t>
      </w:r>
      <w:r w:rsidRPr="008A3B00">
        <w:rPr>
          <w:rFonts w:eastAsia="Times New Roman" w:cs="Times New Roman"/>
          <w:sz w:val="24"/>
          <w:szCs w:val="24"/>
          <w:lang w:eastAsia="fr-FR"/>
        </w:rPr>
        <w:t xml:space="preserve">De ce fait, la </w:t>
      </w:r>
      <w:proofErr w:type="spellStart"/>
      <w:r w:rsidRPr="008A3B00">
        <w:rPr>
          <w:rFonts w:eastAsia="Times New Roman" w:cs="Times New Roman"/>
          <w:sz w:val="24"/>
          <w:szCs w:val="24"/>
          <w:lang w:eastAsia="fr-FR"/>
        </w:rPr>
        <w:t>Sacem</w:t>
      </w:r>
      <w:proofErr w:type="spellEnd"/>
      <w:r w:rsidRPr="008A3B00">
        <w:rPr>
          <w:rFonts w:eastAsia="Times New Roman" w:cs="Times New Roman"/>
          <w:sz w:val="24"/>
          <w:szCs w:val="24"/>
          <w:lang w:eastAsia="fr-FR"/>
        </w:rPr>
        <w:t xml:space="preserve"> délivre une </w:t>
      </w:r>
      <w:r w:rsidRPr="001B06D6">
        <w:rPr>
          <w:rFonts w:eastAsia="Times New Roman" w:cs="Times New Roman"/>
          <w:sz w:val="24"/>
          <w:szCs w:val="24"/>
          <w:lang w:eastAsia="fr-FR"/>
        </w:rPr>
        <w:t>autorisation préalable d'utilis</w:t>
      </w:r>
      <w:r w:rsidRPr="008A3B00">
        <w:rPr>
          <w:rFonts w:eastAsia="Times New Roman" w:cs="Times New Roman"/>
          <w:sz w:val="24"/>
          <w:szCs w:val="24"/>
          <w:lang w:eastAsia="fr-FR"/>
        </w:rPr>
        <w:t>ation pour</w:t>
      </w:r>
      <w:r w:rsidRPr="001B06D6">
        <w:rPr>
          <w:rFonts w:eastAsia="Times New Roman" w:cs="Times New Roman"/>
          <w:sz w:val="24"/>
          <w:szCs w:val="24"/>
          <w:lang w:eastAsia="fr-FR"/>
        </w:rPr>
        <w:t xml:space="preserve"> les œuvres de son répertoire.</w:t>
      </w:r>
      <w:r w:rsidRPr="001B06D6">
        <w:rPr>
          <w:rFonts w:eastAsia="Times New Roman" w:cs="Times New Roman"/>
          <w:sz w:val="24"/>
          <w:szCs w:val="24"/>
          <w:lang w:eastAsia="fr-FR"/>
        </w:rPr>
        <w:br/>
        <w:t>De la même manière que les autres fournisseurs et prestataires qui conc</w:t>
      </w:r>
      <w:r w:rsidRPr="008A3B00">
        <w:rPr>
          <w:rFonts w:eastAsia="Times New Roman" w:cs="Times New Roman"/>
          <w:sz w:val="24"/>
          <w:szCs w:val="24"/>
          <w:lang w:eastAsia="fr-FR"/>
        </w:rPr>
        <w:t>ourent à la réalisation de la</w:t>
      </w:r>
      <w:r w:rsidRPr="001B06D6">
        <w:rPr>
          <w:rFonts w:eastAsia="Times New Roman" w:cs="Times New Roman"/>
          <w:sz w:val="24"/>
          <w:szCs w:val="24"/>
          <w:lang w:eastAsia="fr-FR"/>
        </w:rPr>
        <w:t xml:space="preserve"> manifestation</w:t>
      </w:r>
      <w:r w:rsidRPr="008A3B00">
        <w:rPr>
          <w:rFonts w:eastAsia="Times New Roman" w:cs="Times New Roman"/>
          <w:sz w:val="24"/>
          <w:szCs w:val="24"/>
          <w:lang w:eastAsia="fr-FR"/>
        </w:rPr>
        <w:t xml:space="preserve"> sont rémunérés</w:t>
      </w:r>
      <w:r w:rsidRPr="001B06D6">
        <w:rPr>
          <w:rFonts w:eastAsia="Times New Roman" w:cs="Times New Roman"/>
          <w:sz w:val="24"/>
          <w:szCs w:val="24"/>
          <w:lang w:eastAsia="fr-FR"/>
        </w:rPr>
        <w:t xml:space="preserve">, les créateurs </w:t>
      </w:r>
      <w:r w:rsidRPr="008A3B00">
        <w:rPr>
          <w:rFonts w:eastAsia="Times New Roman" w:cs="Times New Roman"/>
          <w:sz w:val="24"/>
          <w:szCs w:val="24"/>
          <w:lang w:eastAsia="fr-FR"/>
        </w:rPr>
        <w:t>des</w:t>
      </w:r>
      <w:r w:rsidRPr="001B06D6">
        <w:rPr>
          <w:rFonts w:eastAsia="Times New Roman" w:cs="Times New Roman"/>
          <w:sz w:val="24"/>
          <w:szCs w:val="24"/>
          <w:lang w:eastAsia="fr-FR"/>
        </w:rPr>
        <w:t xml:space="preserve"> œuvres </w:t>
      </w:r>
      <w:r w:rsidRPr="008A3B00">
        <w:rPr>
          <w:rFonts w:eastAsia="Times New Roman" w:cs="Times New Roman"/>
          <w:sz w:val="24"/>
          <w:szCs w:val="24"/>
          <w:lang w:eastAsia="fr-FR"/>
        </w:rPr>
        <w:t>le sont.</w:t>
      </w:r>
    </w:p>
    <w:p w:rsidR="001B06D6" w:rsidRDefault="001B06D6" w:rsidP="00AB1E24">
      <w:pPr>
        <w:ind w:firstLine="708"/>
        <w:jc w:val="both"/>
        <w:rPr>
          <w:rFonts w:eastAsia="Times New Roman" w:cs="Times New Roman"/>
          <w:sz w:val="24"/>
          <w:szCs w:val="24"/>
          <w:lang w:eastAsia="fr-FR"/>
        </w:rPr>
      </w:pPr>
      <w:r w:rsidRPr="001B06D6">
        <w:rPr>
          <w:rFonts w:eastAsia="Times New Roman" w:cs="Times New Roman"/>
          <w:sz w:val="24"/>
          <w:szCs w:val="24"/>
          <w:lang w:eastAsia="fr-FR"/>
        </w:rPr>
        <w:t>La procédure d’autorisation et le mode de calcul des droits dépendent des conditions d</w:t>
      </w:r>
      <w:r w:rsidRPr="008A3B00">
        <w:rPr>
          <w:rFonts w:eastAsia="Times New Roman" w:cs="Times New Roman"/>
          <w:sz w:val="24"/>
          <w:szCs w:val="24"/>
          <w:lang w:eastAsia="fr-FR"/>
        </w:rPr>
        <w:t>’organisation </w:t>
      </w:r>
      <w:r w:rsidR="00AB1E24" w:rsidRPr="008A3B00">
        <w:rPr>
          <w:rFonts w:eastAsia="Times New Roman" w:cs="Times New Roman"/>
          <w:sz w:val="24"/>
          <w:szCs w:val="24"/>
          <w:lang w:eastAsia="fr-FR"/>
        </w:rPr>
        <w:t>ainsi que du type de musique diffusée (</w:t>
      </w:r>
      <w:r w:rsidR="00AB1E24" w:rsidRPr="008A3B00">
        <w:rPr>
          <w:rStyle w:val="lev"/>
          <w:b w:val="0"/>
          <w:sz w:val="24"/>
          <w:szCs w:val="24"/>
        </w:rPr>
        <w:t>musique vivante ou à de la musique enregistrée)</w:t>
      </w:r>
      <w:r w:rsidR="00AB1E24" w:rsidRPr="008A3B00">
        <w:rPr>
          <w:rStyle w:val="lev"/>
          <w:sz w:val="24"/>
          <w:szCs w:val="24"/>
        </w:rPr>
        <w:t xml:space="preserve"> </w:t>
      </w:r>
      <w:r w:rsidRPr="008A3B00">
        <w:rPr>
          <w:rFonts w:eastAsia="Times New Roman" w:cs="Times New Roman"/>
          <w:sz w:val="24"/>
          <w:szCs w:val="24"/>
          <w:lang w:eastAsia="fr-FR"/>
        </w:rPr>
        <w:t>:</w:t>
      </w:r>
    </w:p>
    <w:p w:rsidR="00A50A7F" w:rsidRDefault="00A50A7F" w:rsidP="00AB1E24">
      <w:pPr>
        <w:ind w:firstLine="708"/>
        <w:jc w:val="both"/>
        <w:rPr>
          <w:rFonts w:eastAsia="Times New Roman" w:cs="Times New Roman"/>
          <w:sz w:val="24"/>
          <w:szCs w:val="24"/>
          <w:lang w:eastAsia="fr-FR"/>
        </w:rPr>
      </w:pPr>
    </w:p>
    <w:p w:rsidR="001B06D6" w:rsidRPr="008A3B00" w:rsidRDefault="001B06D6" w:rsidP="00AB1E24">
      <w:pPr>
        <w:rPr>
          <w:rFonts w:eastAsia="Times New Roman" w:cs="Times New Roman"/>
          <w:sz w:val="24"/>
          <w:szCs w:val="24"/>
          <w:lang w:eastAsia="fr-FR"/>
        </w:rPr>
      </w:pPr>
    </w:p>
    <w:tbl>
      <w:tblPr>
        <w:tblStyle w:val="Grilledutableau"/>
        <w:tblW w:w="0" w:type="auto"/>
        <w:tblLook w:val="04A0"/>
      </w:tblPr>
      <w:tblGrid>
        <w:gridCol w:w="1724"/>
        <w:gridCol w:w="4006"/>
        <w:gridCol w:w="3558"/>
      </w:tblGrid>
      <w:tr w:rsidR="00D700F3" w:rsidRPr="008A3B00" w:rsidTr="00D700F3">
        <w:tc>
          <w:tcPr>
            <w:tcW w:w="0" w:type="auto"/>
            <w:vAlign w:val="center"/>
          </w:tcPr>
          <w:p w:rsidR="001B06D6" w:rsidRPr="008A3B00" w:rsidRDefault="001B06D6" w:rsidP="00D700F3">
            <w:pPr>
              <w:jc w:val="center"/>
              <w:rPr>
                <w:rFonts w:eastAsia="Times New Roman" w:cs="Times New Roman"/>
                <w:b/>
                <w:sz w:val="24"/>
                <w:szCs w:val="24"/>
                <w:lang w:eastAsia="fr-FR"/>
              </w:rPr>
            </w:pPr>
            <w:r w:rsidRPr="008A3B00">
              <w:rPr>
                <w:rFonts w:eastAsia="Times New Roman" w:cs="Times New Roman"/>
                <w:b/>
                <w:sz w:val="24"/>
                <w:szCs w:val="24"/>
                <w:lang w:eastAsia="fr-FR"/>
              </w:rPr>
              <w:t>Type de Manifestation</w:t>
            </w:r>
          </w:p>
        </w:tc>
        <w:tc>
          <w:tcPr>
            <w:tcW w:w="0" w:type="auto"/>
            <w:vAlign w:val="center"/>
          </w:tcPr>
          <w:p w:rsidR="00D700F3" w:rsidRPr="008A3B00" w:rsidRDefault="00D700F3" w:rsidP="00D700F3">
            <w:pPr>
              <w:jc w:val="center"/>
              <w:rPr>
                <w:rFonts w:eastAsia="Times New Roman" w:cs="Times New Roman"/>
                <w:b/>
                <w:sz w:val="24"/>
                <w:szCs w:val="24"/>
                <w:lang w:eastAsia="fr-FR"/>
              </w:rPr>
            </w:pPr>
          </w:p>
          <w:p w:rsidR="001B06D6" w:rsidRPr="008A3B00" w:rsidRDefault="00AB1E24" w:rsidP="00D700F3">
            <w:pPr>
              <w:jc w:val="center"/>
              <w:rPr>
                <w:rFonts w:eastAsia="Times New Roman" w:cs="Times New Roman"/>
                <w:b/>
                <w:sz w:val="24"/>
                <w:szCs w:val="24"/>
                <w:lang w:eastAsia="fr-FR"/>
              </w:rPr>
            </w:pPr>
            <w:r w:rsidRPr="008A3B00">
              <w:rPr>
                <w:rFonts w:eastAsia="Times New Roman" w:cs="Times New Roman"/>
                <w:b/>
                <w:sz w:val="24"/>
                <w:szCs w:val="24"/>
                <w:lang w:eastAsia="fr-FR"/>
              </w:rPr>
              <w:t>Prix</w:t>
            </w:r>
            <w:r w:rsidR="001B06D6" w:rsidRPr="008A3B00">
              <w:rPr>
                <w:rFonts w:eastAsia="Times New Roman" w:cs="Times New Roman"/>
                <w:b/>
                <w:sz w:val="24"/>
                <w:szCs w:val="24"/>
                <w:lang w:eastAsia="fr-FR"/>
              </w:rPr>
              <w:t xml:space="preserve"> d’entrée ou de la consommation la plus vendue supérieure ou égale à 20 euros, et budget de dépense inférieur ou égal à 2000 euros TTC</w:t>
            </w:r>
          </w:p>
          <w:p w:rsidR="00D700F3" w:rsidRPr="008A3B00" w:rsidRDefault="00D700F3" w:rsidP="00D700F3">
            <w:pPr>
              <w:jc w:val="center"/>
              <w:rPr>
                <w:rFonts w:eastAsia="Times New Roman" w:cs="Times New Roman"/>
                <w:b/>
                <w:sz w:val="24"/>
                <w:szCs w:val="24"/>
                <w:lang w:eastAsia="fr-FR"/>
              </w:rPr>
            </w:pPr>
          </w:p>
        </w:tc>
        <w:tc>
          <w:tcPr>
            <w:tcW w:w="0" w:type="auto"/>
            <w:vAlign w:val="center"/>
          </w:tcPr>
          <w:p w:rsidR="001B06D6" w:rsidRPr="008A3B00" w:rsidRDefault="00AB1E24" w:rsidP="00D700F3">
            <w:pPr>
              <w:jc w:val="center"/>
              <w:rPr>
                <w:rFonts w:eastAsia="Times New Roman" w:cs="Times New Roman"/>
                <w:b/>
                <w:sz w:val="24"/>
                <w:szCs w:val="24"/>
                <w:lang w:eastAsia="fr-FR"/>
              </w:rPr>
            </w:pPr>
            <w:r w:rsidRPr="008A3B00">
              <w:rPr>
                <w:rFonts w:eastAsia="Times New Roman" w:cs="Times New Roman"/>
                <w:b/>
                <w:sz w:val="24"/>
                <w:szCs w:val="24"/>
                <w:lang w:eastAsia="fr-FR"/>
              </w:rPr>
              <w:t>Prix d’entrée ou de la consommation la plus vendue supérieure à 20 euros, et/ou budget de dépense supérieur à 2000 euros TTC</w:t>
            </w:r>
          </w:p>
        </w:tc>
      </w:tr>
      <w:tr w:rsidR="00D700F3" w:rsidRPr="008A3B00" w:rsidTr="00AB1E24">
        <w:tc>
          <w:tcPr>
            <w:tcW w:w="0" w:type="auto"/>
            <w:vAlign w:val="center"/>
          </w:tcPr>
          <w:p w:rsidR="001B06D6" w:rsidRPr="008A3B00" w:rsidRDefault="001B06D6" w:rsidP="00D700F3">
            <w:pPr>
              <w:jc w:val="center"/>
              <w:rPr>
                <w:rFonts w:eastAsia="Times New Roman" w:cs="Times New Roman"/>
                <w:b/>
                <w:sz w:val="24"/>
                <w:szCs w:val="24"/>
                <w:lang w:eastAsia="fr-FR"/>
              </w:rPr>
            </w:pPr>
            <w:r w:rsidRPr="008A3B00">
              <w:rPr>
                <w:rFonts w:eastAsia="Times New Roman" w:cs="Times New Roman"/>
                <w:b/>
                <w:sz w:val="24"/>
                <w:szCs w:val="24"/>
                <w:lang w:eastAsia="fr-FR"/>
              </w:rPr>
              <w:t>Avant la manifestation</w:t>
            </w:r>
          </w:p>
        </w:tc>
        <w:tc>
          <w:tcPr>
            <w:tcW w:w="0" w:type="auto"/>
            <w:vAlign w:val="center"/>
          </w:tcPr>
          <w:p w:rsidR="001B06D6" w:rsidRDefault="001B06D6" w:rsidP="00A50A7F">
            <w:pPr>
              <w:rPr>
                <w:rFonts w:eastAsia="Times New Roman" w:cs="Times New Roman"/>
                <w:sz w:val="24"/>
                <w:szCs w:val="24"/>
                <w:lang w:eastAsia="fr-FR"/>
              </w:rPr>
            </w:pPr>
            <w:r w:rsidRPr="00A50A7F">
              <w:rPr>
                <w:rFonts w:eastAsia="Times New Roman" w:cs="Times New Roman"/>
                <w:sz w:val="24"/>
                <w:szCs w:val="24"/>
                <w:lang w:eastAsia="fr-FR"/>
              </w:rPr>
              <w:t>Déclarer la manifestation à la SACEM par courrier, téléphone ou par internet, permet de bénéficier de 20% de réduction sur la redevance à payer</w:t>
            </w:r>
          </w:p>
          <w:p w:rsidR="00A50A7F" w:rsidRDefault="00A50A7F" w:rsidP="00A50A7F">
            <w:pPr>
              <w:rPr>
                <w:rFonts w:eastAsia="Times New Roman" w:cs="Times New Roman"/>
                <w:sz w:val="24"/>
                <w:szCs w:val="24"/>
                <w:lang w:eastAsia="fr-FR"/>
              </w:rPr>
            </w:pPr>
          </w:p>
          <w:p w:rsidR="00A50A7F" w:rsidRPr="00A50A7F" w:rsidRDefault="00A50A7F" w:rsidP="00A50A7F">
            <w:pPr>
              <w:rPr>
                <w:rFonts w:eastAsia="Times New Roman" w:cs="Times New Roman"/>
                <w:sz w:val="24"/>
                <w:szCs w:val="24"/>
                <w:lang w:eastAsia="fr-FR"/>
              </w:rPr>
            </w:pPr>
          </w:p>
        </w:tc>
        <w:tc>
          <w:tcPr>
            <w:tcW w:w="0" w:type="auto"/>
            <w:vAlign w:val="center"/>
          </w:tcPr>
          <w:p w:rsidR="00D700F3" w:rsidRPr="008A3B00" w:rsidRDefault="00D700F3" w:rsidP="00D700F3">
            <w:pPr>
              <w:rPr>
                <w:rFonts w:eastAsia="Times New Roman" w:cs="Times New Roman"/>
                <w:sz w:val="24"/>
                <w:szCs w:val="24"/>
                <w:lang w:eastAsia="fr-FR"/>
              </w:rPr>
            </w:pPr>
          </w:p>
          <w:p w:rsidR="001B06D6" w:rsidRPr="008A3B00" w:rsidRDefault="00AB1E24" w:rsidP="00D700F3">
            <w:pPr>
              <w:rPr>
                <w:rFonts w:eastAsia="Times New Roman" w:cs="Times New Roman"/>
                <w:sz w:val="24"/>
                <w:szCs w:val="24"/>
                <w:lang w:eastAsia="fr-FR"/>
              </w:rPr>
            </w:pPr>
            <w:r w:rsidRPr="008A3B00">
              <w:rPr>
                <w:rFonts w:eastAsia="Times New Roman" w:cs="Times New Roman"/>
                <w:sz w:val="24"/>
                <w:szCs w:val="24"/>
                <w:lang w:eastAsia="fr-FR"/>
              </w:rPr>
              <w:t>Déclarer la manifestation à la SACEM par courrier, téléphone ou par internet,</w:t>
            </w:r>
            <w:r w:rsidR="00D700F3" w:rsidRPr="008A3B00">
              <w:rPr>
                <w:rFonts w:eastAsia="Times New Roman" w:cs="Times New Roman"/>
                <w:sz w:val="24"/>
                <w:szCs w:val="24"/>
                <w:lang w:eastAsia="fr-FR"/>
              </w:rPr>
              <w:t xml:space="preserve"> au plus tard 15 jours avant </w:t>
            </w:r>
            <w:proofErr w:type="spellStart"/>
            <w:r w:rsidR="00D700F3" w:rsidRPr="008A3B00">
              <w:rPr>
                <w:rFonts w:eastAsia="Times New Roman" w:cs="Times New Roman"/>
                <w:sz w:val="24"/>
                <w:szCs w:val="24"/>
                <w:lang w:eastAsia="fr-FR"/>
              </w:rPr>
              <w:t>son</w:t>
            </w:r>
            <w:r w:rsidRPr="008A3B00">
              <w:rPr>
                <w:rFonts w:eastAsia="Times New Roman" w:cs="Times New Roman"/>
                <w:sz w:val="24"/>
                <w:szCs w:val="24"/>
                <w:lang w:eastAsia="fr-FR"/>
              </w:rPr>
              <w:t>début</w:t>
            </w:r>
            <w:proofErr w:type="spellEnd"/>
            <w:r w:rsidRPr="008A3B00">
              <w:rPr>
                <w:rFonts w:eastAsia="Times New Roman" w:cs="Times New Roman"/>
                <w:sz w:val="24"/>
                <w:szCs w:val="24"/>
                <w:lang w:eastAsia="fr-FR"/>
              </w:rPr>
              <w:t>, permet de bénéficier de 20% de réduction sur la redevance à payer</w:t>
            </w:r>
          </w:p>
          <w:p w:rsidR="00D700F3" w:rsidRPr="008A3B00" w:rsidRDefault="00D700F3" w:rsidP="00D700F3">
            <w:pPr>
              <w:rPr>
                <w:rFonts w:eastAsia="Times New Roman" w:cs="Times New Roman"/>
                <w:sz w:val="24"/>
                <w:szCs w:val="24"/>
                <w:lang w:eastAsia="fr-FR"/>
              </w:rPr>
            </w:pPr>
          </w:p>
        </w:tc>
      </w:tr>
      <w:tr w:rsidR="00D700F3" w:rsidRPr="008A3B00" w:rsidTr="00AB1E24">
        <w:tc>
          <w:tcPr>
            <w:tcW w:w="0" w:type="auto"/>
            <w:vAlign w:val="center"/>
          </w:tcPr>
          <w:p w:rsidR="001B06D6" w:rsidRPr="008A3B00" w:rsidRDefault="001B06D6" w:rsidP="00D700F3">
            <w:pPr>
              <w:jc w:val="center"/>
              <w:rPr>
                <w:rFonts w:eastAsia="Times New Roman" w:cs="Times New Roman"/>
                <w:b/>
                <w:sz w:val="24"/>
                <w:szCs w:val="24"/>
                <w:lang w:eastAsia="fr-FR"/>
              </w:rPr>
            </w:pPr>
            <w:r w:rsidRPr="008A3B00">
              <w:rPr>
                <w:rFonts w:eastAsia="Times New Roman" w:cs="Times New Roman"/>
                <w:b/>
                <w:sz w:val="24"/>
                <w:szCs w:val="24"/>
                <w:lang w:eastAsia="fr-FR"/>
              </w:rPr>
              <w:t>Après la manifestation</w:t>
            </w:r>
          </w:p>
        </w:tc>
        <w:tc>
          <w:tcPr>
            <w:tcW w:w="0" w:type="auto"/>
            <w:vAlign w:val="center"/>
          </w:tcPr>
          <w:p w:rsidR="00AB1E24" w:rsidRDefault="00AB1E24" w:rsidP="00AB1E24">
            <w:pPr>
              <w:rPr>
                <w:rFonts w:eastAsia="Times New Roman" w:cs="Times New Roman"/>
                <w:sz w:val="24"/>
                <w:szCs w:val="24"/>
                <w:lang w:eastAsia="fr-FR"/>
              </w:rPr>
            </w:pPr>
            <w:r w:rsidRPr="008A3B00">
              <w:rPr>
                <w:rFonts w:eastAsia="Times New Roman" w:cs="Times New Roman"/>
                <w:sz w:val="24"/>
                <w:szCs w:val="24"/>
                <w:lang w:eastAsia="fr-FR"/>
              </w:rPr>
              <w:t>- Déclaration des recettes et dépenses en ligne</w:t>
            </w:r>
          </w:p>
          <w:p w:rsidR="00651390" w:rsidRPr="008A3B00" w:rsidRDefault="00651390" w:rsidP="00AB1E24">
            <w:pPr>
              <w:rPr>
                <w:rFonts w:eastAsia="Times New Roman" w:cs="Times New Roman"/>
                <w:sz w:val="24"/>
                <w:szCs w:val="24"/>
                <w:lang w:eastAsia="fr-FR"/>
              </w:rPr>
            </w:pPr>
          </w:p>
          <w:p w:rsidR="00AB1E24" w:rsidRPr="008A3B00" w:rsidRDefault="00AB1E24" w:rsidP="00AB1E24">
            <w:pPr>
              <w:rPr>
                <w:rFonts w:eastAsia="Times New Roman" w:cs="Times New Roman"/>
                <w:sz w:val="24"/>
                <w:szCs w:val="24"/>
                <w:lang w:eastAsia="fr-FR"/>
              </w:rPr>
            </w:pPr>
            <w:r w:rsidRPr="008A3B00">
              <w:rPr>
                <w:rFonts w:eastAsia="Times New Roman" w:cs="Times New Roman"/>
                <w:sz w:val="24"/>
                <w:szCs w:val="24"/>
                <w:lang w:eastAsia="fr-FR"/>
              </w:rPr>
              <w:t>- Paiement du forfait : la grille tarifaire va de 50 euros pour une soirée sans recette et disposant de moins de 1000 euros de budget de dépense à 436 euros pour un pris d’entrée de 20 euros et 2000 euros de budget dépense</w:t>
            </w:r>
          </w:p>
        </w:tc>
        <w:tc>
          <w:tcPr>
            <w:tcW w:w="0" w:type="auto"/>
            <w:vAlign w:val="center"/>
          </w:tcPr>
          <w:p w:rsidR="00D700F3" w:rsidRPr="008A3B00" w:rsidRDefault="00D700F3" w:rsidP="00AB1E24">
            <w:pPr>
              <w:rPr>
                <w:rFonts w:eastAsia="Times New Roman" w:cs="Times New Roman"/>
                <w:sz w:val="24"/>
                <w:szCs w:val="24"/>
                <w:lang w:eastAsia="fr-FR"/>
              </w:rPr>
            </w:pPr>
          </w:p>
          <w:p w:rsidR="00AB1E24" w:rsidRPr="008A3B00" w:rsidRDefault="00AB1E24" w:rsidP="00AB1E24">
            <w:pPr>
              <w:rPr>
                <w:rFonts w:eastAsia="Times New Roman" w:cs="Times New Roman"/>
                <w:sz w:val="24"/>
                <w:szCs w:val="24"/>
                <w:lang w:eastAsia="fr-FR"/>
              </w:rPr>
            </w:pPr>
            <w:r w:rsidRPr="008A3B00">
              <w:rPr>
                <w:rFonts w:eastAsia="Times New Roman" w:cs="Times New Roman"/>
                <w:sz w:val="24"/>
                <w:szCs w:val="24"/>
                <w:lang w:eastAsia="fr-FR"/>
              </w:rPr>
              <w:t xml:space="preserve">- Compléter le formulaire </w:t>
            </w:r>
            <w:hyperlink r:id="rId7" w:tgtFrame="_blank" w:history="1">
              <w:r w:rsidRPr="008A3B00">
                <w:rPr>
                  <w:rFonts w:eastAsia="Times New Roman" w:cs="Times New Roman"/>
                  <w:sz w:val="24"/>
                  <w:szCs w:val="24"/>
                  <w:lang w:eastAsia="fr-FR"/>
                </w:rPr>
                <w:t>"Etat des recettes et des dépenses"</w:t>
              </w:r>
            </w:hyperlink>
            <w:r w:rsidRPr="008A3B00">
              <w:rPr>
                <w:rFonts w:eastAsia="Times New Roman" w:cs="Times New Roman"/>
                <w:sz w:val="24"/>
                <w:szCs w:val="24"/>
                <w:lang w:eastAsia="fr-FR"/>
              </w:rPr>
              <w:t xml:space="preserve"> dans les 10 jours suivant la manifestation et le renvoyer à la délégation régionale SACEM</w:t>
            </w:r>
          </w:p>
          <w:p w:rsidR="00AB1E24" w:rsidRPr="008A3B00" w:rsidRDefault="00AB1E24" w:rsidP="00AB1E24">
            <w:pPr>
              <w:rPr>
                <w:rFonts w:eastAsia="Times New Roman" w:cs="Times New Roman"/>
                <w:sz w:val="24"/>
                <w:szCs w:val="24"/>
                <w:lang w:eastAsia="fr-FR"/>
              </w:rPr>
            </w:pPr>
          </w:p>
          <w:p w:rsidR="00AB1E24" w:rsidRPr="008A3B00" w:rsidRDefault="00AB1E24" w:rsidP="00AB1E24">
            <w:pPr>
              <w:rPr>
                <w:rFonts w:eastAsia="Times New Roman" w:cs="Times New Roman"/>
                <w:sz w:val="24"/>
                <w:szCs w:val="24"/>
                <w:lang w:eastAsia="fr-FR"/>
              </w:rPr>
            </w:pPr>
            <w:r w:rsidRPr="008A3B00">
              <w:rPr>
                <w:rFonts w:eastAsia="Times New Roman" w:cs="Times New Roman"/>
                <w:sz w:val="24"/>
                <w:szCs w:val="24"/>
                <w:lang w:eastAsia="fr-FR"/>
              </w:rPr>
              <w:t>- Le taux applicable pour le calcul de la redevance dépend de multiples facteurs, dont le type de musique diffusée ou la recette de la soirée</w:t>
            </w:r>
          </w:p>
          <w:p w:rsidR="00AB1E24" w:rsidRPr="008A3B00" w:rsidRDefault="00AB1E24" w:rsidP="00AB1E24">
            <w:pPr>
              <w:rPr>
                <w:rFonts w:eastAsia="Times New Roman" w:cs="Times New Roman"/>
                <w:sz w:val="24"/>
                <w:szCs w:val="24"/>
                <w:lang w:eastAsia="fr-FR"/>
              </w:rPr>
            </w:pPr>
          </w:p>
          <w:p w:rsidR="001B06D6" w:rsidRPr="008A3B00" w:rsidRDefault="001B06D6" w:rsidP="00AB1E24">
            <w:pPr>
              <w:pStyle w:val="Paragraphedeliste"/>
              <w:rPr>
                <w:rFonts w:eastAsia="Times New Roman" w:cs="Times New Roman"/>
                <w:sz w:val="24"/>
                <w:szCs w:val="24"/>
                <w:lang w:eastAsia="fr-FR"/>
              </w:rPr>
            </w:pPr>
          </w:p>
        </w:tc>
      </w:tr>
    </w:tbl>
    <w:p w:rsidR="001B06D6" w:rsidRPr="001B06D6" w:rsidRDefault="001B06D6" w:rsidP="001B06D6">
      <w:pPr>
        <w:rPr>
          <w:rFonts w:ascii="Times New Roman" w:eastAsia="Times New Roman" w:hAnsi="Times New Roman" w:cs="Times New Roman"/>
          <w:sz w:val="24"/>
          <w:szCs w:val="24"/>
          <w:lang w:eastAsia="fr-FR"/>
        </w:rPr>
      </w:pPr>
    </w:p>
    <w:p w:rsidR="001B06D6" w:rsidRDefault="00AB1E24">
      <w:pPr>
        <w:rPr>
          <w:i/>
          <w:sz w:val="24"/>
          <w:szCs w:val="24"/>
        </w:rPr>
      </w:pPr>
      <w:r w:rsidRPr="008A3B00">
        <w:rPr>
          <w:i/>
          <w:sz w:val="24"/>
          <w:szCs w:val="24"/>
        </w:rPr>
        <w:t xml:space="preserve">Source : </w:t>
      </w:r>
      <w:hyperlink r:id="rId8" w:history="1">
        <w:r w:rsidR="00A50A7F" w:rsidRPr="00EB353D">
          <w:rPr>
            <w:rStyle w:val="Lienhypertexte"/>
            <w:i/>
            <w:sz w:val="24"/>
            <w:szCs w:val="24"/>
          </w:rPr>
          <w:t>www.sacem.fr</w:t>
        </w:r>
      </w:hyperlink>
    </w:p>
    <w:p w:rsidR="00A50A7F" w:rsidRDefault="00A50A7F">
      <w:pPr>
        <w:rPr>
          <w:i/>
          <w:sz w:val="24"/>
          <w:szCs w:val="24"/>
        </w:rPr>
      </w:pPr>
    </w:p>
    <w:p w:rsidR="00E55D86" w:rsidRDefault="00E55D86">
      <w:pPr>
        <w:rPr>
          <w:b/>
          <w:sz w:val="28"/>
          <w:szCs w:val="28"/>
        </w:rPr>
      </w:pPr>
    </w:p>
    <w:p w:rsidR="00E55D86" w:rsidRDefault="00E55D86">
      <w:pPr>
        <w:rPr>
          <w:b/>
          <w:sz w:val="28"/>
          <w:szCs w:val="28"/>
        </w:rPr>
      </w:pPr>
    </w:p>
    <w:p w:rsidR="00383955" w:rsidRDefault="00383955">
      <w:pPr>
        <w:rPr>
          <w:b/>
          <w:sz w:val="28"/>
          <w:szCs w:val="28"/>
        </w:rPr>
      </w:pPr>
    </w:p>
    <w:p w:rsidR="00A50A7F" w:rsidRDefault="00A50A7F">
      <w:pPr>
        <w:rPr>
          <w:sz w:val="28"/>
          <w:szCs w:val="28"/>
        </w:rPr>
      </w:pPr>
      <w:r>
        <w:rPr>
          <w:b/>
          <w:sz w:val="28"/>
          <w:szCs w:val="28"/>
        </w:rPr>
        <w:t>Les services de secours</w:t>
      </w:r>
    </w:p>
    <w:p w:rsidR="00A50A7F" w:rsidRDefault="00A50A7F">
      <w:pPr>
        <w:rPr>
          <w:sz w:val="28"/>
          <w:szCs w:val="28"/>
        </w:rPr>
      </w:pPr>
    </w:p>
    <w:p w:rsidR="00243B3A" w:rsidRPr="00243B3A" w:rsidRDefault="00243B3A" w:rsidP="00243B3A">
      <w:pPr>
        <w:ind w:firstLine="708"/>
        <w:jc w:val="both"/>
        <w:rPr>
          <w:sz w:val="24"/>
          <w:szCs w:val="24"/>
        </w:rPr>
      </w:pPr>
      <w:r w:rsidRPr="00243B3A">
        <w:rPr>
          <w:sz w:val="24"/>
          <w:szCs w:val="24"/>
        </w:rPr>
        <w:t>Pour les petites manifestations</w:t>
      </w:r>
      <w:r w:rsidR="00A50A7F" w:rsidRPr="00243B3A">
        <w:rPr>
          <w:sz w:val="24"/>
          <w:szCs w:val="24"/>
        </w:rPr>
        <w:t xml:space="preserve">, la </w:t>
      </w:r>
      <w:r w:rsidR="00A50A7F" w:rsidRPr="00243B3A">
        <w:rPr>
          <w:rStyle w:val="spipsurligne"/>
          <w:sz w:val="24"/>
          <w:szCs w:val="24"/>
        </w:rPr>
        <w:t>présence</w:t>
      </w:r>
      <w:r w:rsidR="00A50A7F" w:rsidRPr="00243B3A">
        <w:rPr>
          <w:sz w:val="24"/>
          <w:szCs w:val="24"/>
        </w:rPr>
        <w:t xml:space="preserve"> d’un service de secours n’est pas obligatoire. Il est toutefois nécessaire </w:t>
      </w:r>
      <w:r w:rsidRPr="00243B3A">
        <w:rPr>
          <w:sz w:val="24"/>
          <w:szCs w:val="24"/>
        </w:rPr>
        <w:t>que les organisateurs aient en leur possession</w:t>
      </w:r>
      <w:r w:rsidR="00A50A7F" w:rsidRPr="00243B3A">
        <w:rPr>
          <w:sz w:val="24"/>
          <w:szCs w:val="24"/>
        </w:rPr>
        <w:t xml:space="preserve"> la liste </w:t>
      </w:r>
      <w:r w:rsidR="00A50A7F" w:rsidRPr="00243B3A">
        <w:rPr>
          <w:rStyle w:val="spipsurligne"/>
          <w:sz w:val="24"/>
          <w:szCs w:val="24"/>
        </w:rPr>
        <w:t>des</w:t>
      </w:r>
      <w:r w:rsidR="00A50A7F" w:rsidRPr="00243B3A">
        <w:rPr>
          <w:sz w:val="24"/>
          <w:szCs w:val="24"/>
        </w:rPr>
        <w:t xml:space="preserve"> numéros d’urgence et une trousse de premiers secours. </w:t>
      </w:r>
    </w:p>
    <w:p w:rsidR="00243B3A" w:rsidRPr="00243B3A" w:rsidRDefault="00A50A7F" w:rsidP="00243B3A">
      <w:pPr>
        <w:ind w:firstLine="708"/>
        <w:jc w:val="both"/>
        <w:rPr>
          <w:sz w:val="24"/>
          <w:szCs w:val="24"/>
        </w:rPr>
      </w:pPr>
      <w:r w:rsidRPr="00243B3A">
        <w:rPr>
          <w:sz w:val="24"/>
          <w:szCs w:val="24"/>
        </w:rPr>
        <w:t>Pour</w:t>
      </w:r>
      <w:r w:rsidR="00243B3A" w:rsidRPr="00243B3A">
        <w:rPr>
          <w:sz w:val="24"/>
          <w:szCs w:val="24"/>
        </w:rPr>
        <w:t xml:space="preserve"> les rassemblements importants </w:t>
      </w:r>
      <w:r w:rsidRPr="00243B3A">
        <w:rPr>
          <w:sz w:val="24"/>
          <w:szCs w:val="24"/>
        </w:rPr>
        <w:t xml:space="preserve">il est indispensable </w:t>
      </w:r>
      <w:r w:rsidR="00243B3A">
        <w:rPr>
          <w:sz w:val="24"/>
          <w:szCs w:val="24"/>
        </w:rPr>
        <w:t xml:space="preserve">de faire appel à la Croix </w:t>
      </w:r>
      <w:r w:rsidR="00243B3A" w:rsidRPr="00243B3A">
        <w:rPr>
          <w:sz w:val="24"/>
          <w:szCs w:val="24"/>
        </w:rPr>
        <w:t>Rouge via les comités locaux.</w:t>
      </w:r>
    </w:p>
    <w:p w:rsidR="00243B3A" w:rsidRPr="00243B3A" w:rsidRDefault="00243B3A" w:rsidP="00243B3A">
      <w:pPr>
        <w:ind w:firstLine="708"/>
        <w:jc w:val="both"/>
        <w:rPr>
          <w:sz w:val="24"/>
          <w:szCs w:val="24"/>
        </w:rPr>
      </w:pPr>
    </w:p>
    <w:p w:rsidR="00243B3A" w:rsidRPr="00243B3A" w:rsidRDefault="00566031" w:rsidP="00243B3A">
      <w:pPr>
        <w:pStyle w:val="Normal6"/>
        <w:ind w:firstLine="708"/>
        <w:jc w:val="both"/>
        <w:rPr>
          <w:rFonts w:asciiTheme="minorHAnsi" w:hAnsiTheme="minorHAnsi"/>
          <w:color w:val="000000"/>
        </w:rPr>
      </w:pPr>
      <w:r>
        <w:rPr>
          <w:rFonts w:asciiTheme="minorHAnsi" w:hAnsiTheme="minorHAnsi"/>
          <w:color w:val="000000"/>
        </w:rPr>
        <w:t>Concernant la sécurité incendie, d</w:t>
      </w:r>
      <w:r w:rsidR="00243B3A" w:rsidRPr="00243B3A">
        <w:rPr>
          <w:rFonts w:asciiTheme="minorHAnsi" w:hAnsiTheme="minorHAnsi"/>
          <w:color w:val="000000"/>
        </w:rPr>
        <w:t>es sapeurs-pompiers peuvent être imposés si nécessaire par l’autorité délivrant l’autorisation pour la manifestation.</w:t>
      </w:r>
      <w:r w:rsidR="00243B3A">
        <w:rPr>
          <w:rFonts w:asciiTheme="minorHAnsi" w:hAnsiTheme="minorHAnsi"/>
          <w:color w:val="000000"/>
        </w:rPr>
        <w:t xml:space="preserve"> </w:t>
      </w:r>
      <w:r w:rsidR="00243B3A" w:rsidRPr="00243B3A">
        <w:rPr>
          <w:rFonts w:asciiTheme="minorHAnsi" w:hAnsiTheme="minorHAnsi"/>
          <w:color w:val="000000"/>
        </w:rPr>
        <w:t>Cette prestation fait l’objet d’une facturation par le Service Départemental d’Incendie et de Secours</w:t>
      </w:r>
      <w:r w:rsidR="00243B3A">
        <w:rPr>
          <w:rFonts w:asciiTheme="minorHAnsi" w:hAnsiTheme="minorHAnsi"/>
          <w:color w:val="000000"/>
        </w:rPr>
        <w:t xml:space="preserve"> (SDIS).</w:t>
      </w:r>
      <w:r w:rsidR="00243B3A" w:rsidRPr="00243B3A">
        <w:rPr>
          <w:rFonts w:asciiTheme="minorHAnsi" w:hAnsiTheme="minorHAnsi"/>
          <w:color w:val="000000"/>
        </w:rPr>
        <w:t xml:space="preserve"> </w:t>
      </w:r>
      <w:r w:rsidR="00243B3A">
        <w:rPr>
          <w:rFonts w:asciiTheme="minorHAnsi" w:hAnsiTheme="minorHAnsi"/>
          <w:color w:val="000000"/>
        </w:rPr>
        <w:t>U</w:t>
      </w:r>
      <w:r w:rsidR="00243B3A" w:rsidRPr="00243B3A">
        <w:rPr>
          <w:rFonts w:asciiTheme="minorHAnsi" w:hAnsiTheme="minorHAnsi"/>
          <w:color w:val="000000"/>
        </w:rPr>
        <w:t xml:space="preserve">ne convention </w:t>
      </w:r>
      <w:r w:rsidR="00E55D86">
        <w:rPr>
          <w:rFonts w:asciiTheme="minorHAnsi" w:hAnsiTheme="minorHAnsi"/>
          <w:color w:val="000000"/>
        </w:rPr>
        <w:t>est</w:t>
      </w:r>
      <w:r w:rsidR="00243B3A" w:rsidRPr="00243B3A">
        <w:rPr>
          <w:rFonts w:asciiTheme="minorHAnsi" w:hAnsiTheme="minorHAnsi"/>
          <w:color w:val="000000"/>
        </w:rPr>
        <w:t xml:space="preserve"> établie </w:t>
      </w:r>
      <w:r w:rsidR="00E55D86">
        <w:rPr>
          <w:rFonts w:asciiTheme="minorHAnsi" w:hAnsiTheme="minorHAnsi"/>
          <w:color w:val="000000"/>
        </w:rPr>
        <w:t xml:space="preserve">à cet effet </w:t>
      </w:r>
      <w:r w:rsidR="00243B3A" w:rsidRPr="00243B3A">
        <w:rPr>
          <w:rFonts w:asciiTheme="minorHAnsi" w:hAnsiTheme="minorHAnsi"/>
          <w:color w:val="000000"/>
        </w:rPr>
        <w:t xml:space="preserve">avec l’organisateur. </w:t>
      </w:r>
    </w:p>
    <w:p w:rsidR="00243B3A" w:rsidRDefault="00243B3A" w:rsidP="00243B3A">
      <w:pPr>
        <w:ind w:firstLine="708"/>
        <w:jc w:val="both"/>
        <w:rPr>
          <w:sz w:val="24"/>
          <w:szCs w:val="24"/>
        </w:rPr>
      </w:pPr>
    </w:p>
    <w:p w:rsidR="00A50A7F" w:rsidRPr="00243B3A" w:rsidRDefault="00243B3A" w:rsidP="00243B3A">
      <w:pPr>
        <w:ind w:firstLine="708"/>
        <w:jc w:val="both"/>
        <w:rPr>
          <w:sz w:val="24"/>
          <w:szCs w:val="24"/>
        </w:rPr>
      </w:pPr>
      <w:r>
        <w:rPr>
          <w:sz w:val="24"/>
          <w:szCs w:val="24"/>
        </w:rPr>
        <w:t>Il est à noter qu’à</w:t>
      </w:r>
      <w:r w:rsidR="00A50A7F" w:rsidRPr="00243B3A">
        <w:rPr>
          <w:sz w:val="24"/>
          <w:szCs w:val="24"/>
        </w:rPr>
        <w:t xml:space="preserve"> partir de l’heure d’ouverture </w:t>
      </w:r>
      <w:r w:rsidR="00A50A7F" w:rsidRPr="00243B3A">
        <w:rPr>
          <w:rStyle w:val="spipsurligne"/>
          <w:sz w:val="24"/>
          <w:szCs w:val="24"/>
        </w:rPr>
        <w:t>des</w:t>
      </w:r>
      <w:r w:rsidR="00A50A7F" w:rsidRPr="00243B3A">
        <w:rPr>
          <w:sz w:val="24"/>
          <w:szCs w:val="24"/>
        </w:rPr>
        <w:t xml:space="preserve"> portes au public, l’organisateur a la responsabilité de la sécurité dans </w:t>
      </w:r>
      <w:r w:rsidR="00A6599E">
        <w:rPr>
          <w:sz w:val="24"/>
          <w:szCs w:val="24"/>
        </w:rPr>
        <w:t>la salle où se déroule la manifestation</w:t>
      </w:r>
      <w:r w:rsidR="00A50A7F" w:rsidRPr="00243B3A">
        <w:rPr>
          <w:sz w:val="24"/>
          <w:szCs w:val="24"/>
        </w:rPr>
        <w:t xml:space="preserve">, mais aussi dans un rayon de 50 mètres autour de l’entrée. Il peut ainsi être tenu pour responsable </w:t>
      </w:r>
      <w:r>
        <w:rPr>
          <w:rStyle w:val="spipsurligne"/>
          <w:sz w:val="24"/>
          <w:szCs w:val="24"/>
        </w:rPr>
        <w:t>du comportement des personnes participant à la manifestation et se trouvant dans cette zone.</w:t>
      </w:r>
      <w:r w:rsidR="00A50A7F" w:rsidRPr="00243B3A">
        <w:rPr>
          <w:sz w:val="24"/>
          <w:szCs w:val="24"/>
        </w:rPr>
        <w:t xml:space="preserve"> </w:t>
      </w:r>
    </w:p>
    <w:p w:rsidR="00A50A7F" w:rsidRPr="00243B3A" w:rsidRDefault="00A50A7F" w:rsidP="00243B3A">
      <w:pPr>
        <w:jc w:val="both"/>
        <w:rPr>
          <w:sz w:val="24"/>
          <w:szCs w:val="24"/>
        </w:rPr>
      </w:pPr>
    </w:p>
    <w:sectPr w:rsidR="00A50A7F" w:rsidRPr="00243B3A" w:rsidSect="00383955">
      <w:headerReference w:type="default" r:id="rId9"/>
      <w:footerReference w:type="default" r:id="rId10"/>
      <w:pgSz w:w="11906" w:h="16838"/>
      <w:pgMar w:top="170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192" w:rsidRDefault="003D3192" w:rsidP="00651390">
      <w:r>
        <w:separator/>
      </w:r>
    </w:p>
  </w:endnote>
  <w:endnote w:type="continuationSeparator" w:id="0">
    <w:p w:rsidR="003D3192" w:rsidRDefault="003D3192" w:rsidP="006513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363516"/>
      <w:docPartObj>
        <w:docPartGallery w:val="Page Numbers (Bottom of Page)"/>
        <w:docPartUnique/>
      </w:docPartObj>
    </w:sdtPr>
    <w:sdtEndPr>
      <w:rPr>
        <w:sz w:val="20"/>
        <w:szCs w:val="20"/>
      </w:rPr>
    </w:sdtEndPr>
    <w:sdtContent>
      <w:sdt>
        <w:sdtPr>
          <w:rPr>
            <w:sz w:val="20"/>
            <w:szCs w:val="20"/>
          </w:rPr>
          <w:id w:val="123787560"/>
          <w:docPartObj>
            <w:docPartGallery w:val="Page Numbers (Top of Page)"/>
            <w:docPartUnique/>
          </w:docPartObj>
        </w:sdtPr>
        <w:sdtContent>
          <w:p w:rsidR="00243B3A" w:rsidRPr="00651390" w:rsidRDefault="00243B3A">
            <w:pPr>
              <w:pStyle w:val="Pieddepage"/>
              <w:jc w:val="center"/>
              <w:rPr>
                <w:sz w:val="20"/>
                <w:szCs w:val="20"/>
              </w:rPr>
            </w:pPr>
            <w:r w:rsidRPr="00651390">
              <w:rPr>
                <w:sz w:val="20"/>
                <w:szCs w:val="20"/>
              </w:rPr>
              <w:t xml:space="preserve">Page </w:t>
            </w:r>
            <w:r w:rsidRPr="00651390">
              <w:rPr>
                <w:sz w:val="20"/>
                <w:szCs w:val="20"/>
              </w:rPr>
              <w:fldChar w:fldCharType="begin"/>
            </w:r>
            <w:r w:rsidRPr="00651390">
              <w:rPr>
                <w:sz w:val="20"/>
                <w:szCs w:val="20"/>
              </w:rPr>
              <w:instrText>PAGE</w:instrText>
            </w:r>
            <w:r w:rsidRPr="00651390">
              <w:rPr>
                <w:sz w:val="20"/>
                <w:szCs w:val="20"/>
              </w:rPr>
              <w:fldChar w:fldCharType="separate"/>
            </w:r>
            <w:r w:rsidR="00383955">
              <w:rPr>
                <w:noProof/>
                <w:sz w:val="20"/>
                <w:szCs w:val="20"/>
              </w:rPr>
              <w:t>4</w:t>
            </w:r>
            <w:r w:rsidRPr="00651390">
              <w:rPr>
                <w:sz w:val="20"/>
                <w:szCs w:val="20"/>
              </w:rPr>
              <w:fldChar w:fldCharType="end"/>
            </w:r>
            <w:r w:rsidRPr="00651390">
              <w:rPr>
                <w:sz w:val="20"/>
                <w:szCs w:val="20"/>
              </w:rPr>
              <w:t xml:space="preserve"> sur </w:t>
            </w:r>
            <w:r w:rsidRPr="00651390">
              <w:rPr>
                <w:sz w:val="20"/>
                <w:szCs w:val="20"/>
              </w:rPr>
              <w:fldChar w:fldCharType="begin"/>
            </w:r>
            <w:r w:rsidRPr="00651390">
              <w:rPr>
                <w:sz w:val="20"/>
                <w:szCs w:val="20"/>
              </w:rPr>
              <w:instrText>NUMPAGES</w:instrText>
            </w:r>
            <w:r w:rsidRPr="00651390">
              <w:rPr>
                <w:sz w:val="20"/>
                <w:szCs w:val="20"/>
              </w:rPr>
              <w:fldChar w:fldCharType="separate"/>
            </w:r>
            <w:r w:rsidR="00383955">
              <w:rPr>
                <w:noProof/>
                <w:sz w:val="20"/>
                <w:szCs w:val="20"/>
              </w:rPr>
              <w:t>4</w:t>
            </w:r>
            <w:r w:rsidRPr="00651390">
              <w:rPr>
                <w:sz w:val="20"/>
                <w:szCs w:val="20"/>
              </w:rPr>
              <w:fldChar w:fldCharType="end"/>
            </w:r>
          </w:p>
        </w:sdtContent>
      </w:sdt>
    </w:sdtContent>
  </w:sdt>
  <w:p w:rsidR="00243B3A" w:rsidRDefault="00243B3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192" w:rsidRDefault="003D3192" w:rsidP="00651390">
      <w:r>
        <w:separator/>
      </w:r>
    </w:p>
  </w:footnote>
  <w:footnote w:type="continuationSeparator" w:id="0">
    <w:p w:rsidR="003D3192" w:rsidRDefault="003D3192" w:rsidP="006513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B3A" w:rsidRDefault="00243B3A">
    <w:pPr>
      <w:pStyle w:val="En-tte"/>
    </w:pPr>
    <w:r>
      <w:rPr>
        <w:noProof/>
        <w:lang w:eastAsia="fr-FR"/>
      </w:rPr>
      <w:drawing>
        <wp:inline distT="0" distB="0" distL="0" distR="0">
          <wp:extent cx="1504950" cy="523875"/>
          <wp:effectExtent l="19050" t="0" r="0" b="0"/>
          <wp:docPr id="1" name="Image 1" descr="logo_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IN"/>
                  <pic:cNvPicPr>
                    <a:picLocks noChangeAspect="1" noChangeArrowheads="1"/>
                  </pic:cNvPicPr>
                </pic:nvPicPr>
                <pic:blipFill>
                  <a:blip r:embed="rId1"/>
                  <a:srcRect/>
                  <a:stretch>
                    <a:fillRect/>
                  </a:stretch>
                </pic:blipFill>
                <pic:spPr bwMode="auto">
                  <a:xfrm>
                    <a:off x="0" y="0"/>
                    <a:ext cx="1504950" cy="523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39CF"/>
    <w:multiLevelType w:val="multilevel"/>
    <w:tmpl w:val="D83A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620C8"/>
    <w:multiLevelType w:val="hybridMultilevel"/>
    <w:tmpl w:val="5BF68136"/>
    <w:lvl w:ilvl="0" w:tplc="E62A713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C16EA1"/>
    <w:multiLevelType w:val="hybridMultilevel"/>
    <w:tmpl w:val="FA8084A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2C591267"/>
    <w:multiLevelType w:val="hybridMultilevel"/>
    <w:tmpl w:val="3ECEF9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53796F"/>
    <w:multiLevelType w:val="hybridMultilevel"/>
    <w:tmpl w:val="C7B064F6"/>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46840BC9"/>
    <w:multiLevelType w:val="hybridMultilevel"/>
    <w:tmpl w:val="3CE81F1E"/>
    <w:lvl w:ilvl="0" w:tplc="5B6210A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6E7C39"/>
    <w:multiLevelType w:val="hybridMultilevel"/>
    <w:tmpl w:val="526C8B54"/>
    <w:lvl w:ilvl="0" w:tplc="D8526C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0530C2"/>
    <w:multiLevelType w:val="hybridMultilevel"/>
    <w:tmpl w:val="96B2B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2"/>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B06D6"/>
    <w:rsid w:val="000A0C1F"/>
    <w:rsid w:val="001B06D6"/>
    <w:rsid w:val="00243B3A"/>
    <w:rsid w:val="00383955"/>
    <w:rsid w:val="003D3192"/>
    <w:rsid w:val="00566031"/>
    <w:rsid w:val="005F54B3"/>
    <w:rsid w:val="00651390"/>
    <w:rsid w:val="00853C40"/>
    <w:rsid w:val="008A3B00"/>
    <w:rsid w:val="00A34B26"/>
    <w:rsid w:val="00A50A7F"/>
    <w:rsid w:val="00A6599E"/>
    <w:rsid w:val="00AB1E24"/>
    <w:rsid w:val="00D700F3"/>
    <w:rsid w:val="00E55B90"/>
    <w:rsid w:val="00E55D86"/>
    <w:rsid w:val="00F93C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26"/>
  </w:style>
  <w:style w:type="paragraph" w:styleId="Titre4">
    <w:name w:val="heading 4"/>
    <w:basedOn w:val="Default"/>
    <w:next w:val="Default"/>
    <w:link w:val="Titre4Car"/>
    <w:uiPriority w:val="99"/>
    <w:qFormat/>
    <w:rsid w:val="00243B3A"/>
    <w:pPr>
      <w:outlineLvl w:val="3"/>
    </w:pPr>
    <w:rPr>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06D6"/>
    <w:pPr>
      <w:spacing w:before="100" w:beforeAutospacing="1" w:after="100" w:afterAutospacing="1"/>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1B06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AB1E24"/>
    <w:rPr>
      <w:b/>
      <w:bCs/>
    </w:rPr>
  </w:style>
  <w:style w:type="paragraph" w:styleId="Paragraphedeliste">
    <w:name w:val="List Paragraph"/>
    <w:basedOn w:val="Normal"/>
    <w:uiPriority w:val="34"/>
    <w:qFormat/>
    <w:rsid w:val="00AB1E24"/>
    <w:pPr>
      <w:ind w:left="720"/>
      <w:contextualSpacing/>
    </w:pPr>
  </w:style>
  <w:style w:type="character" w:styleId="Lienhypertexte">
    <w:name w:val="Hyperlink"/>
    <w:basedOn w:val="Policepardfaut"/>
    <w:uiPriority w:val="99"/>
    <w:unhideWhenUsed/>
    <w:rsid w:val="00AB1E24"/>
    <w:rPr>
      <w:color w:val="0000FF"/>
      <w:u w:val="single"/>
    </w:rPr>
  </w:style>
  <w:style w:type="paragraph" w:styleId="En-tte">
    <w:name w:val="header"/>
    <w:basedOn w:val="Normal"/>
    <w:link w:val="En-tteCar"/>
    <w:uiPriority w:val="99"/>
    <w:semiHidden/>
    <w:unhideWhenUsed/>
    <w:rsid w:val="00651390"/>
    <w:pPr>
      <w:tabs>
        <w:tab w:val="center" w:pos="4536"/>
        <w:tab w:val="right" w:pos="9072"/>
      </w:tabs>
    </w:pPr>
  </w:style>
  <w:style w:type="character" w:customStyle="1" w:styleId="En-tteCar">
    <w:name w:val="En-tête Car"/>
    <w:basedOn w:val="Policepardfaut"/>
    <w:link w:val="En-tte"/>
    <w:uiPriority w:val="99"/>
    <w:semiHidden/>
    <w:rsid w:val="00651390"/>
  </w:style>
  <w:style w:type="paragraph" w:styleId="Pieddepage">
    <w:name w:val="footer"/>
    <w:basedOn w:val="Normal"/>
    <w:link w:val="PieddepageCar"/>
    <w:uiPriority w:val="99"/>
    <w:unhideWhenUsed/>
    <w:rsid w:val="00651390"/>
    <w:pPr>
      <w:tabs>
        <w:tab w:val="center" w:pos="4536"/>
        <w:tab w:val="right" w:pos="9072"/>
      </w:tabs>
    </w:pPr>
  </w:style>
  <w:style w:type="character" w:customStyle="1" w:styleId="PieddepageCar">
    <w:name w:val="Pied de page Car"/>
    <w:basedOn w:val="Policepardfaut"/>
    <w:link w:val="Pieddepage"/>
    <w:uiPriority w:val="99"/>
    <w:rsid w:val="00651390"/>
  </w:style>
  <w:style w:type="paragraph" w:styleId="Textedebulles">
    <w:name w:val="Balloon Text"/>
    <w:basedOn w:val="Normal"/>
    <w:link w:val="TextedebullesCar"/>
    <w:uiPriority w:val="99"/>
    <w:semiHidden/>
    <w:unhideWhenUsed/>
    <w:rsid w:val="00651390"/>
    <w:rPr>
      <w:rFonts w:ascii="Tahoma" w:hAnsi="Tahoma" w:cs="Tahoma"/>
      <w:sz w:val="16"/>
      <w:szCs w:val="16"/>
    </w:rPr>
  </w:style>
  <w:style w:type="character" w:customStyle="1" w:styleId="TextedebullesCar">
    <w:name w:val="Texte de bulles Car"/>
    <w:basedOn w:val="Policepardfaut"/>
    <w:link w:val="Textedebulles"/>
    <w:uiPriority w:val="99"/>
    <w:semiHidden/>
    <w:rsid w:val="00651390"/>
    <w:rPr>
      <w:rFonts w:ascii="Tahoma" w:hAnsi="Tahoma" w:cs="Tahoma"/>
      <w:sz w:val="16"/>
      <w:szCs w:val="16"/>
    </w:rPr>
  </w:style>
  <w:style w:type="character" w:customStyle="1" w:styleId="spipsurligne">
    <w:name w:val="spip_surligne"/>
    <w:basedOn w:val="Policepardfaut"/>
    <w:rsid w:val="00A50A7F"/>
  </w:style>
  <w:style w:type="character" w:customStyle="1" w:styleId="Titre4Car">
    <w:name w:val="Titre 4 Car"/>
    <w:basedOn w:val="Policepardfaut"/>
    <w:link w:val="Titre4"/>
    <w:uiPriority w:val="99"/>
    <w:rsid w:val="00243B3A"/>
    <w:rPr>
      <w:rFonts w:ascii="Tahoma" w:hAnsi="Tahoma" w:cs="Tahoma"/>
      <w:sz w:val="24"/>
      <w:szCs w:val="24"/>
    </w:rPr>
  </w:style>
  <w:style w:type="paragraph" w:customStyle="1" w:styleId="Default">
    <w:name w:val="Default"/>
    <w:rsid w:val="00243B3A"/>
    <w:pPr>
      <w:autoSpaceDE w:val="0"/>
      <w:autoSpaceDN w:val="0"/>
      <w:adjustRightInd w:val="0"/>
    </w:pPr>
    <w:rPr>
      <w:rFonts w:ascii="Tahoma" w:hAnsi="Tahoma" w:cs="Tahoma"/>
      <w:color w:val="000000"/>
      <w:sz w:val="24"/>
      <w:szCs w:val="24"/>
    </w:rPr>
  </w:style>
  <w:style w:type="paragraph" w:customStyle="1" w:styleId="Normal6">
    <w:name w:val="Normal+6"/>
    <w:basedOn w:val="Default"/>
    <w:next w:val="Default"/>
    <w:uiPriority w:val="99"/>
    <w:rsid w:val="00243B3A"/>
    <w:rPr>
      <w:color w:val="auto"/>
    </w:rPr>
  </w:style>
</w:styles>
</file>

<file path=word/webSettings.xml><?xml version="1.0" encoding="utf-8"?>
<w:webSettings xmlns:r="http://schemas.openxmlformats.org/officeDocument/2006/relationships" xmlns:w="http://schemas.openxmlformats.org/wordprocessingml/2006/main">
  <w:divs>
    <w:div w:id="213391946">
      <w:bodyDiv w:val="1"/>
      <w:marLeft w:val="0"/>
      <w:marRight w:val="0"/>
      <w:marTop w:val="0"/>
      <w:marBottom w:val="0"/>
      <w:divBdr>
        <w:top w:val="none" w:sz="0" w:space="0" w:color="auto"/>
        <w:left w:val="none" w:sz="0" w:space="0" w:color="auto"/>
        <w:bottom w:val="none" w:sz="0" w:space="0" w:color="auto"/>
        <w:right w:val="none" w:sz="0" w:space="0" w:color="auto"/>
      </w:divBdr>
    </w:div>
    <w:div w:id="891308667">
      <w:bodyDiv w:val="1"/>
      <w:marLeft w:val="0"/>
      <w:marRight w:val="0"/>
      <w:marTop w:val="0"/>
      <w:marBottom w:val="0"/>
      <w:divBdr>
        <w:top w:val="none" w:sz="0" w:space="0" w:color="auto"/>
        <w:left w:val="none" w:sz="0" w:space="0" w:color="auto"/>
        <w:bottom w:val="none" w:sz="0" w:space="0" w:color="auto"/>
        <w:right w:val="none" w:sz="0" w:space="0" w:color="auto"/>
      </w:divBdr>
    </w:div>
    <w:div w:id="922490615">
      <w:bodyDiv w:val="1"/>
      <w:marLeft w:val="0"/>
      <w:marRight w:val="0"/>
      <w:marTop w:val="0"/>
      <w:marBottom w:val="0"/>
      <w:divBdr>
        <w:top w:val="none" w:sz="0" w:space="0" w:color="auto"/>
        <w:left w:val="none" w:sz="0" w:space="0" w:color="auto"/>
        <w:bottom w:val="none" w:sz="0" w:space="0" w:color="auto"/>
        <w:right w:val="none" w:sz="0" w:space="0" w:color="auto"/>
      </w:divBdr>
    </w:div>
    <w:div w:id="1578243722">
      <w:bodyDiv w:val="1"/>
      <w:marLeft w:val="0"/>
      <w:marRight w:val="0"/>
      <w:marTop w:val="0"/>
      <w:marBottom w:val="0"/>
      <w:divBdr>
        <w:top w:val="none" w:sz="0" w:space="0" w:color="auto"/>
        <w:left w:val="none" w:sz="0" w:space="0" w:color="auto"/>
        <w:bottom w:val="none" w:sz="0" w:space="0" w:color="auto"/>
        <w:right w:val="none" w:sz="0" w:space="0" w:color="auto"/>
      </w:divBdr>
      <w:divsChild>
        <w:div w:id="208649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cem.fr" TargetMode="External"/><Relationship Id="rId3" Type="http://schemas.openxmlformats.org/officeDocument/2006/relationships/settings" Target="settings.xml"/><Relationship Id="rId7" Type="http://schemas.openxmlformats.org/officeDocument/2006/relationships/hyperlink" Target="http://www.sacem.fr/files/content/sites/fr/files/mediatheque/utilisateur/organiser/nouveau_bareme_2011/etat_recettes_depens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6867</TotalTime>
  <Pages>4</Pages>
  <Words>1037</Words>
  <Characters>5707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UTC</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 Cornette</dc:creator>
  <cp:keywords/>
  <dc:description/>
  <cp:lastModifiedBy>JB Cornette</cp:lastModifiedBy>
  <cp:revision>6</cp:revision>
  <cp:lastPrinted>2011-10-05T11:55:00Z</cp:lastPrinted>
  <dcterms:created xsi:type="dcterms:W3CDTF">2011-10-05T11:00:00Z</dcterms:created>
  <dcterms:modified xsi:type="dcterms:W3CDTF">2011-10-10T07:55:00Z</dcterms:modified>
</cp:coreProperties>
</file>